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ANEXO F: OFICIO DE REMISIÓN A JURISDICCIÓN ORDINARIA (LEY 348)</w:t>
      </w:r>
    </w:p>
    <w:p>
      <w:pPr>
        <w:jc w:val="center"/>
        <w:spacing w:after="240"/>
      </w:pPr>
      <w:r>
        <w:rPr>
          <w:i/>
          <w:sz w:val="22"/>
          <w:color w:val="475569"/>
        </w:rPr>
        <w:t>Normativa Oficial — Sección de Género y Derechos Humanos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AUTORIDAD DESTINATARIA</w:t>
      </w:r>
    </w:p>
    <w:p>
      <w:pPr>
        <w:jc w:val="both"/>
        <w:spacing w:after="120"/>
      </w:pPr>
      <w:r>
        <w:t>SEÑOR FISCAL DE MATERIA ESPECIALIZADO EN DELITOS DE VIOLENCIA CONTRA LAS MUJERES / FELCV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CONTENIDO</w:t>
      </w:r>
    </w:p>
    <w:p>
      <w:pPr>
        <w:jc w:val="both"/>
        <w:spacing w:after="120"/>
      </w:pPr>
      <w:r>
        <w:t>Remisión de antecedentes conforme al mandato constitucional y la Ley Integral para Garantizar a las Mujeres una Vida Libre de Violencia (Ley 348).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ADJUNTOS</w:t>
      </w:r>
    </w:p>
    <w:p>
      <w:pPr>
        <w:jc w:val="both"/>
        <w:spacing w:after="120"/>
      </w:pPr>
      <w:r>
        <w:t>Copia legalizada del formulario de denuncia, acta de medidas precautorias y valoración de riesgo.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