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after="40"/>
      </w:pPr>
      <w:r>
        <w:rPr>
          <w:b/>
          <w:sz w:val="30"/>
          <w:color w:val="0F172A"/>
        </w:rPr>
        <w:t>EJÉRCITO DE BOLIVIA</w:t>
      </w:r>
    </w:p>
    <w:p>
      <w:pPr>
        <w:jc w:val="center"/>
        <w:spacing w:after="80"/>
      </w:pPr>
      <w:r>
        <w:rPr>
          <w:b/>
          <w:sz w:val="22"/>
          <w:color w:val="334155"/>
        </w:rPr>
        <w:t>ESTADO MAYOR GENERAL — SECCIÓN DE GÉNERO Y DERECHOS HUMANOS</w:t>
      </w:r>
    </w:p>
    <w:p>
      <w:pPr>
        <w:pBdr>
          <w:bottom w:val="single" w:sz="12" w:space="4" w:color="D4AF37"/>
        </w:pBdr>
        <w:jc w:val="center"/>
        <w:spacing w:after="200"/>
      </w:pPr>
      <w:r>
        <w:t/>
      </w:r>
    </w:p>
    <w:p>
      <w:pPr>
        <w:jc w:val="center"/>
        <w:spacing w:before="120" w:after="80"/>
      </w:pPr>
      <w:r>
        <w:rPr>
          <w:b/>
          <w:sz w:val="26"/>
          <w:color w:val="1E3A8A"/>
        </w:rPr>
        <w:t>ANEXO H: PLANILLA DE SEGUIMIENTO Y MONITOREO DE CASOS</w:t>
      </w:r>
    </w:p>
    <w:p>
      <w:pPr>
        <w:jc w:val="center"/>
        <w:spacing w:after="240"/>
      </w:pPr>
      <w:r>
        <w:rPr>
          <w:i/>
          <w:sz w:val="22"/>
          <w:color w:val="475569"/>
        </w:rPr>
        <w:t>Normativa Oficial — Sección de Género y Derechos Humanos</w:t>
      </w:r>
    </w:p>
    <w:p>
      <w:pPr>
        <w:jc w:val="left"/>
        <w:spacing w:before="200" w:after="80"/>
      </w:pPr>
      <w:r>
        <w:rPr>
          <w:b/>
          <w:sz w:val="23"/>
          <w:color w:val="0F172A"/>
        </w:rPr>
        <w:t>FINALIDAD</w:t>
      </w:r>
    </w:p>
    <w:p>
      <w:pPr>
        <w:jc w:val="both"/>
        <w:spacing w:after="120"/>
      </w:pPr>
      <w:r>
        <w:t>Monitoreo periódico del cumplimiento de medidas de protección y verificación de no represalias.</w:t>
      </w:r>
    </w:p>
    <w:p>
      <w:pPr>
        <w:jc w:val="left"/>
        <w:spacing w:before="200" w:after="80"/>
      </w:pPr>
      <w:r>
        <w:rPr>
          <w:b/>
          <w:sz w:val="23"/>
          <w:color w:val="0F172A"/>
        </w:rPr>
        <w:t>CALENDARIO DE REVISIÓN</w:t>
      </w:r>
    </w:p>
    <w:p>
      <w:pPr>
        <w:jc w:val="both"/>
        <w:spacing w:after="120"/>
      </w:pPr>
      <w:r>
        <w:t>Revisiones semanales durante el primer mes y quincenales hasta la conclusión definitiva del sumario.</w:t>
      </w:r>
    </w:p>
    <w:p>
      <w:pPr>
        <w:jc w:val="left"/>
        <w:spacing w:before="200" w:after="80"/>
      </w:pPr>
      <w:r>
        <w:rPr>
          <w:b/>
          <w:sz w:val="23"/>
          <w:color w:val="0F172A"/>
        </w:rPr>
        <w:t>OBSERVACIONES</w:t>
      </w:r>
    </w:p>
    <w:p>
      <w:pPr>
        <w:jc w:val="both"/>
        <w:spacing w:after="120"/>
      </w:pPr>
      <w:r>
        <w:t>Sin novedades adversas registradas a la fecha.</w:t>
      </w:r>
    </w:p>
    <w:p>
      <w:pPr>
        <w:spacing w:before="400" w:after="60"/>
      </w:pPr>
      <w:r>
        <w:t/>
      </w:r>
    </w:p>
    <w:tbl>
      <w:tblPr>
        <w:tblW w:w="5000" w:type="pct"/>
        <w:jc w:val="center"/>
      </w:tblPr>
      <w:tr>
        <w:tc>
          <w:tcPr>
            <w:tcW w:w="2500" w:type="pct"/>
          </w:tcPr>
          <w:p>
            <w:pPr>
              <w:jc w:val="center"/>
              <w:spacing w:after="40"/>
            </w:pPr>
            <w:r>
              <w:t>___________________________________________</w:t>
            </w:r>
          </w:p>
          <w:p>
            <w:pPr>
              <w:jc w:val="center"/>
              <w:spacing w:after="20"/>
            </w:pPr>
            <w:r>
              <w:rPr>
                <w:b/>
              </w:rPr>
              <w:t>OFICIAL DE GÉNERO Y DD.HH.</w:t>
            </w:r>
          </w:p>
          <w:p>
            <w:pPr>
              <w:jc w:val="center"/>
              <w:spacing w:after="0"/>
            </w:pPr>
            <w:r>
              <w:rPr>
                <w:sz w:val="20"/>
              </w:rPr>
              <w:t>Gran Unidad / Regimiento</w:t>
            </w:r>
          </w:p>
        </w:tc>
        <w:tc>
          <w:tcPr>
            <w:tcW w:w="2500" w:type="pct"/>
          </w:tcPr>
          <w:p>
            <w:pPr>
              <w:jc w:val="center"/>
              <w:spacing w:after="40"/>
            </w:pPr>
            <w:r>
              <w:t>___________________________________________</w:t>
            </w:r>
          </w:p>
          <w:p>
            <w:pPr>
              <w:jc w:val="center"/>
              <w:spacing w:after="20"/>
            </w:pPr>
            <w:r>
              <w:rPr>
                <w:b/>
              </w:rPr>
              <w:t>COMANDANTE DE LA UNIDAD</w:t>
            </w:r>
          </w:p>
          <w:p>
            <w:pPr>
              <w:jc w:val="center"/>
              <w:spacing w:after="0"/>
            </w:pPr>
            <w:r>
              <w:rPr>
                <w:sz w:val="20"/>
              </w:rPr>
              <w:t>Visto Bueno y Registro</w:t>
            </w:r>
          </w:p>
        </w:tc>
      </w:tr>
    </w:tbl>
    <w:sectPr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>
  <w:defaultTabStop w:val="708"/>
  <w:compat/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4"/>
        <w:szCs w:val="24"/>
        <w:lang w:val="es-BO"/>
      </w:rPr>
    </w:rPrDefault>
    <w:pPrDefault>
      <w:pPr>
        <w:spacing w:line="276" w:lineRule="auto" w:after="140"/>
        <w:jc w:val="both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