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I: INFORME FINAL DE CONCLUSIONES Y EVALUACIÓN DISCIPLINARIA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A</w:t>
      </w:r>
    </w:p>
    <w:p>
      <w:pPr>
        <w:jc w:val="both"/>
        <w:spacing w:after="120"/>
      </w:pPr>
      <w:r>
        <w:t>SEÑOR COMANDANTE GENERAL DEL EJÉRCITO / PRESIDENTE DEL TRIBUNAL DEL PERSONAL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DE</w:t>
      </w:r>
    </w:p>
    <w:p>
      <w:pPr>
        <w:jc w:val="both"/>
        <w:spacing w:after="120"/>
      </w:pPr>
      <w:r>
        <w:t>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RELACIÓN CIRCUNSTANCIADA</w:t>
      </w:r>
    </w:p>
    <w:p>
      <w:pPr>
        <w:jc w:val="both"/>
        <w:spacing w:after="120"/>
      </w:pPr>
      <w:r>
        <w:t>Agotadas las diligencias informativas, pericias y declaraciones de descargo.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COMPROBACIÓN FÁCTICA</w:t>
      </w:r>
    </w:p>
    <w:p>
      <w:pPr>
        <w:jc w:val="both"/>
        <w:spacing w:after="120"/>
      </w:pPr>
      <w:r>
        <w:t>Se determina la existencia de responsabilidad disciplinaria conforme al Reglamento de Faltas.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CONCLUSIONES</w:t>
      </w:r>
    </w:p>
    <w:p>
      <w:pPr>
        <w:jc w:val="both"/>
        <w:spacing w:after="120"/>
      </w:pPr>
      <w:r>
        <w:t>Remisión al Tribunal del Personal y ratificación de medidas cautelares definitivas.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