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MISIÓN DE LA SECCIÓN DE GÉNERO Y DERECHOS HUMANOS</w:t>
      </w:r>
    </w:p>
    <w:p>
      <w:pPr>
        <w:jc w:val="center"/>
        <w:spacing w:after="240"/>
      </w:pPr>
      <w:r>
        <w:rPr>
          <w:i/>
          <w:sz w:val="22"/>
          <w:color w:val="475569"/>
        </w:rPr>
        <w:t>Directiva Estratégica del Estado Mayor General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misión de la sección de género y derechos humanos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