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  <w:spacing w:after="40"/>
      </w:pPr>
      <w:r>
        <w:rPr>
          <w:b/>
          <w:sz w:val="30"/>
          <w:color w:val="0F172A"/>
        </w:rPr>
        <w:t>EJÉRCITO DE BOLIVIA</w:t>
      </w:r>
    </w:p>
    <w:p>
      <w:pPr>
        <w:jc w:val="center"/>
        <w:spacing w:after="80"/>
      </w:pPr>
      <w:r>
        <w:rPr>
          <w:b/>
          <w:sz w:val="22"/>
          <w:color w:val="334155"/>
        </w:rPr>
        <w:t>ESTADO MAYOR GENERAL — SECCIÓN DE GÉNERO Y DERECHOS HUMANOS</w:t>
      </w:r>
    </w:p>
    <w:p>
      <w:pPr>
        <w:pBdr>
          <w:bottom w:val="single" w:sz="12" w:space="4" w:color="D4AF37"/>
        </w:pBdr>
        <w:jc w:val="center"/>
        <w:spacing w:after="200"/>
      </w:pPr>
      <w:r>
        <w:t/>
      </w:r>
    </w:p>
    <w:p>
      <w:pPr>
        <w:jc w:val="center"/>
        <w:spacing w:before="120" w:after="80"/>
      </w:pPr>
      <w:r>
        <w:rPr>
          <w:b/>
          <w:sz w:val="26"/>
          <w:color w:val="1E3A8A"/>
        </w:rPr>
        <w:t>GUÍA DE INSPECCIÓN EN GÉNERO Y DERECHOS HUMANOS</w:t>
      </w:r>
    </w:p>
    <w:p>
      <w:pPr>
        <w:jc w:val="center"/>
        <w:spacing w:after="240"/>
      </w:pPr>
      <w:r>
        <w:rPr>
          <w:i/>
          <w:sz w:val="22"/>
          <w:color w:val="475569"/>
        </w:rPr>
        <w:t>Instrumento de Supervisión Divisionaria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1. OBJETO Y ALCANCE</w:t>
      </w:r>
    </w:p>
    <w:p>
      <w:pPr>
        <w:jc w:val="both"/>
        <w:spacing w:after="120"/>
      </w:pPr>
      <w:r>
        <w:t>Establecer los lineamientos institucionales para guía de inspección en género y derechos humanos en las unidades operativas.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2. MARCO DOCTRINARIO</w:t>
      </w:r>
    </w:p>
    <w:p>
      <w:pPr>
        <w:jc w:val="both"/>
        <w:spacing w:after="120"/>
      </w:pPr>
      <w:r>
        <w:t>Conforme a la Constitución Política del Estado, Ley Orgánica de las FF.AA. y Directivas del Ejército.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3. DESARROLLO TÉCNICO</w:t>
      </w:r>
    </w:p>
    <w:p>
      <w:pPr>
        <w:jc w:val="both"/>
        <w:spacing w:after="120"/>
      </w:pPr>
      <w:r>
        <w:t>Registro y cumplimiento estricto por parte del personal militar designado en la repartición.</w:t>
      </w:r>
    </w:p>
    <w:p>
      <w:pPr>
        <w:jc w:val="left"/>
        <w:spacing w:before="200" w:after="80"/>
      </w:pPr>
      <w:r>
        <w:rPr>
          <w:b/>
          <w:sz w:val="23"/>
          <w:color w:val="0F172A"/>
        </w:rPr>
        <w:t>4. DISPOSICIONES COMPLEMENTARIAS</w:t>
      </w:r>
    </w:p>
    <w:p>
      <w:pPr>
        <w:jc w:val="both"/>
        <w:spacing w:after="120"/>
      </w:pPr>
      <w:r>
        <w:t>Cualquier modificación debe ser refrendada por el escalón superior del Estado Mayor General.</w:t>
      </w:r>
    </w:p>
    <w:p>
      <w:pPr>
        <w:spacing w:before="400" w:after="60"/>
      </w:pPr>
      <w:r>
        <w:t/>
      </w:r>
    </w:p>
    <w:tbl>
      <w:tblPr>
        <w:tblW w:w="5000" w:type="pct"/>
        <w:jc w:val="center"/>
      </w:tblPr>
      <w:tr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OFICIAL DE GÉNERO Y DD.HH.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Gran Unidad / Regimiento</w:t>
            </w:r>
          </w:p>
        </w:tc>
        <w:tc>
          <w:tcPr>
            <w:tcW w:w="2500" w:type="pct"/>
          </w:tcPr>
          <w:p>
            <w:pPr>
              <w:jc w:val="center"/>
              <w:spacing w:after="40"/>
            </w:pPr>
            <w:r>
              <w:t>___________________________________________</w:t>
            </w:r>
          </w:p>
          <w:p>
            <w:pPr>
              <w:jc w:val="center"/>
              <w:spacing w:after="20"/>
            </w:pPr>
            <w:r>
              <w:rPr>
                <w:b/>
              </w:rPr>
              <w:t>COMANDANTE DE LA UNIDAD</w:t>
            </w:r>
          </w:p>
          <w:p>
            <w:pPr>
              <w:jc w:val="center"/>
              <w:spacing w:after="0"/>
            </w:pPr>
            <w:r>
              <w:rPr>
                <w:sz w:val="20"/>
              </w:rPr>
              <w:t>Visto Bueno y Registro</w:t>
            </w:r>
          </w:p>
        </w:tc>
      </w:tr>
    </w:tbl>
    <w:sectPr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>
  <w:defaultTabStop w:val="708"/>
  <w:compat/>
</w:settings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4"/>
        <w:szCs w:val="24"/>
        <w:lang w:val="es-BO"/>
      </w:rPr>
    </w:rPrDefault>
    <w:pPrDefault>
      <w:pPr>
        <w:spacing w:line="276" w:lineRule="auto" w:after="140"/>
        <w:jc w:val="both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</Relationships>
</file>