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659" w:rsidRDefault="00881659" w:rsidP="00066D7E">
      <w:pPr>
        <w:pStyle w:val="Heading1"/>
      </w:pPr>
      <w:r>
        <w:t>INSTALACION DE LOS CERTIFICADOS DE SANCOR</w:t>
      </w:r>
    </w:p>
    <w:p w:rsidR="00066D7E" w:rsidRPr="00881659" w:rsidRDefault="00066D7E" w:rsidP="00066D7E">
      <w:pPr>
        <w:pStyle w:val="Heading1"/>
        <w:rPr>
          <w:sz w:val="24"/>
          <w:szCs w:val="24"/>
        </w:rPr>
      </w:pPr>
      <w:r w:rsidRPr="00881659">
        <w:rPr>
          <w:sz w:val="24"/>
          <w:szCs w:val="24"/>
        </w:rPr>
        <w:t>Crear Snap-In de certificados en la consola</w:t>
      </w:r>
    </w:p>
    <w:p w:rsidR="00881659" w:rsidRDefault="00881659" w:rsidP="00066D7E">
      <w:pPr>
        <w:rPr>
          <w:sz w:val="20"/>
          <w:szCs w:val="20"/>
        </w:rPr>
      </w:pPr>
    </w:p>
    <w:p w:rsidR="00AF66E0" w:rsidRPr="00881659" w:rsidRDefault="00AF66E0" w:rsidP="00066D7E">
      <w:pPr>
        <w:rPr>
          <w:sz w:val="20"/>
          <w:szCs w:val="20"/>
        </w:rPr>
      </w:pPr>
      <w:r w:rsidRPr="00881659">
        <w:rPr>
          <w:sz w:val="20"/>
          <w:szCs w:val="20"/>
        </w:rPr>
        <w:t>Abrir la consola mmc desde el command (cmd) de windows.</w:t>
      </w:r>
    </w:p>
    <w:p w:rsidR="00803EB3" w:rsidRDefault="00803EB3" w:rsidP="00066D7E">
      <w:pPr>
        <w:jc w:val="center"/>
      </w:pPr>
      <w:r>
        <w:rPr>
          <w:noProof/>
        </w:rPr>
        <w:drawing>
          <wp:inline distT="0" distB="0" distL="0" distR="0">
            <wp:extent cx="2104118" cy="11389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11" cy="114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E" w:rsidRPr="00881659" w:rsidRDefault="00066D7E" w:rsidP="00066D7E">
      <w:pPr>
        <w:rPr>
          <w:sz w:val="20"/>
          <w:szCs w:val="20"/>
        </w:rPr>
      </w:pPr>
      <w:r w:rsidRPr="00881659">
        <w:rPr>
          <w:sz w:val="20"/>
          <w:szCs w:val="20"/>
        </w:rPr>
        <w:t>Se abrirá la consola vaciía, ir a File -&gt; Add/Remove Snap In luego el botón add, a continuación seleccionar Certificates y luego Computer Account como se muestra en la imagen siguiente.</w:t>
      </w:r>
    </w:p>
    <w:p w:rsidR="00803EB3" w:rsidRDefault="00803EB3" w:rsidP="00066D7E">
      <w:pPr>
        <w:jc w:val="center"/>
      </w:pPr>
      <w:r>
        <w:rPr>
          <w:noProof/>
        </w:rPr>
        <w:drawing>
          <wp:inline distT="0" distB="0" distL="0" distR="0">
            <wp:extent cx="5612130" cy="4068028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E" w:rsidRPr="00881659" w:rsidRDefault="00066D7E" w:rsidP="00066D7E">
      <w:pPr>
        <w:rPr>
          <w:sz w:val="20"/>
          <w:szCs w:val="20"/>
        </w:rPr>
      </w:pPr>
      <w:r w:rsidRPr="00881659">
        <w:rPr>
          <w:sz w:val="20"/>
          <w:szCs w:val="20"/>
        </w:rPr>
        <w:t>Presionar el botón Next y luego seleccionar Local computer…</w:t>
      </w:r>
    </w:p>
    <w:p w:rsidR="00AF66E0" w:rsidRDefault="00803EB3" w:rsidP="00066D7E">
      <w:pPr>
        <w:jc w:val="center"/>
      </w:pPr>
      <w:r>
        <w:rPr>
          <w:noProof/>
        </w:rPr>
        <w:lastRenderedPageBreak/>
        <w:drawing>
          <wp:inline distT="0" distB="0" distL="0" distR="0">
            <wp:extent cx="3296418" cy="24549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542" cy="245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E" w:rsidRDefault="00066D7E" w:rsidP="00066D7E">
      <w:pPr>
        <w:rPr>
          <w:sz w:val="20"/>
          <w:szCs w:val="20"/>
        </w:rPr>
      </w:pPr>
      <w:r w:rsidRPr="00881659">
        <w:rPr>
          <w:sz w:val="20"/>
          <w:szCs w:val="20"/>
        </w:rPr>
        <w:t>Importar los archivos root.cer y usrConsulGroup</w:t>
      </w:r>
      <w:r w:rsidR="00036710">
        <w:rPr>
          <w:sz w:val="20"/>
          <w:szCs w:val="20"/>
        </w:rPr>
        <w:t>CtaCte</w:t>
      </w:r>
      <w:r w:rsidRPr="00881659">
        <w:rPr>
          <w:sz w:val="20"/>
          <w:szCs w:val="20"/>
        </w:rPr>
        <w:t>.pfx (botón contextual del mouse sobre la carpeta Personal), seleccionar la segunda opción como lo detalla la imagen siguiente.</w:t>
      </w:r>
    </w:p>
    <w:p w:rsidR="00036710" w:rsidRPr="00881659" w:rsidRDefault="00857F98" w:rsidP="00066D7E">
      <w:pPr>
        <w:rPr>
          <w:sz w:val="20"/>
          <w:szCs w:val="20"/>
        </w:rPr>
      </w:pPr>
      <w:r>
        <w:rPr>
          <w:sz w:val="20"/>
          <w:szCs w:val="20"/>
        </w:rPr>
        <w:t xml:space="preserve">Para certificado CtaCte -&gt; </w:t>
      </w:r>
      <w:r w:rsidR="00036710" w:rsidRPr="00036710">
        <w:rPr>
          <w:sz w:val="20"/>
          <w:szCs w:val="20"/>
        </w:rPr>
        <w:t>Password="con43$su2"</w:t>
      </w:r>
    </w:p>
    <w:p w:rsidR="00066D7E" w:rsidRDefault="00066D7E" w:rsidP="00066D7E">
      <w:pPr>
        <w:jc w:val="center"/>
      </w:pPr>
      <w:r w:rsidRPr="00066D7E">
        <w:rPr>
          <w:noProof/>
        </w:rPr>
        <w:drawing>
          <wp:inline distT="0" distB="0" distL="0" distR="0">
            <wp:extent cx="3408686" cy="2659753"/>
            <wp:effectExtent l="19050" t="0" r="1264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03" cy="266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D7E" w:rsidRDefault="00066D7E" w:rsidP="00066D7E"/>
    <w:p w:rsidR="00066D7E" w:rsidRPr="00F44C4F" w:rsidRDefault="00066D7E" w:rsidP="00066D7E">
      <w:pPr>
        <w:rPr>
          <w:sz w:val="20"/>
          <w:szCs w:val="20"/>
        </w:rPr>
      </w:pPr>
      <w:r w:rsidRPr="00F44C4F">
        <w:rPr>
          <w:sz w:val="20"/>
          <w:szCs w:val="20"/>
        </w:rPr>
        <w:t xml:space="preserve">A continuación se muestra como quedan instalados los </w:t>
      </w:r>
      <w:r w:rsidR="00294371" w:rsidRPr="00F44C4F">
        <w:rPr>
          <w:sz w:val="20"/>
          <w:szCs w:val="20"/>
        </w:rPr>
        <w:t>certificados</w:t>
      </w:r>
      <w:r w:rsidRPr="00F44C4F">
        <w:rPr>
          <w:sz w:val="20"/>
          <w:szCs w:val="20"/>
        </w:rPr>
        <w:t xml:space="preserve">. </w:t>
      </w:r>
    </w:p>
    <w:p w:rsidR="00066D7E" w:rsidRPr="00F44C4F" w:rsidRDefault="00066D7E" w:rsidP="00066D7E">
      <w:pPr>
        <w:rPr>
          <w:sz w:val="20"/>
          <w:szCs w:val="20"/>
        </w:rPr>
      </w:pPr>
      <w:r w:rsidRPr="00F44C4F">
        <w:rPr>
          <w:sz w:val="20"/>
          <w:szCs w:val="20"/>
        </w:rPr>
        <w:t xml:space="preserve">El certificado root.cer también se almacena en el </w:t>
      </w:r>
      <w:r w:rsidR="00294371" w:rsidRPr="00F44C4F">
        <w:rPr>
          <w:sz w:val="20"/>
          <w:szCs w:val="20"/>
        </w:rPr>
        <w:t>área</w:t>
      </w:r>
      <w:r w:rsidRPr="00F44C4F">
        <w:rPr>
          <w:sz w:val="20"/>
          <w:szCs w:val="20"/>
        </w:rPr>
        <w:t xml:space="preserve"> de certificados de Trusted Root Certification Authorities.</w:t>
      </w:r>
    </w:p>
    <w:p w:rsidR="00066D7E" w:rsidRPr="00F44C4F" w:rsidRDefault="00066D7E" w:rsidP="00066D7E">
      <w:pPr>
        <w:rPr>
          <w:sz w:val="20"/>
          <w:szCs w:val="20"/>
        </w:rPr>
      </w:pPr>
    </w:p>
    <w:p w:rsidR="00AF66E0" w:rsidRDefault="00066D7E" w:rsidP="00AF66E0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327219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B14" w:rsidRPr="001E40F7" w:rsidRDefault="002C4D49">
      <w:pPr>
        <w:rPr>
          <w:sz w:val="20"/>
          <w:szCs w:val="20"/>
        </w:rPr>
      </w:pPr>
      <w:r w:rsidRPr="0099384B">
        <w:rPr>
          <w:sz w:val="20"/>
          <w:szCs w:val="20"/>
        </w:rPr>
        <w:t xml:space="preserve">En este punto ya </w:t>
      </w:r>
      <w:r w:rsidR="0099384B">
        <w:rPr>
          <w:sz w:val="20"/>
          <w:szCs w:val="20"/>
        </w:rPr>
        <w:t xml:space="preserve">se puede acceder </w:t>
      </w:r>
      <w:r w:rsidRPr="0099384B">
        <w:rPr>
          <w:sz w:val="20"/>
          <w:szCs w:val="20"/>
        </w:rPr>
        <w:t xml:space="preserve">al web service </w:t>
      </w:r>
      <w:r w:rsidR="0099384B">
        <w:rPr>
          <w:sz w:val="20"/>
          <w:szCs w:val="20"/>
        </w:rPr>
        <w:t xml:space="preserve">de forma autenticada </w:t>
      </w:r>
      <w:r w:rsidRPr="0099384B">
        <w:rPr>
          <w:sz w:val="20"/>
          <w:szCs w:val="20"/>
        </w:rPr>
        <w:t>desde est</w:t>
      </w:r>
      <w:r w:rsidR="0099384B">
        <w:rPr>
          <w:sz w:val="20"/>
          <w:szCs w:val="20"/>
        </w:rPr>
        <w:t>e</w:t>
      </w:r>
      <w:r w:rsidRPr="0099384B">
        <w:rPr>
          <w:sz w:val="20"/>
          <w:szCs w:val="20"/>
        </w:rPr>
        <w:t xml:space="preserve"> </w:t>
      </w:r>
      <w:r w:rsidR="002C1631">
        <w:rPr>
          <w:sz w:val="20"/>
          <w:szCs w:val="20"/>
        </w:rPr>
        <w:t>servi</w:t>
      </w:r>
      <w:r w:rsidR="0099384B">
        <w:rPr>
          <w:sz w:val="20"/>
          <w:szCs w:val="20"/>
        </w:rPr>
        <w:t>d</w:t>
      </w:r>
      <w:r w:rsidR="002C1631">
        <w:rPr>
          <w:sz w:val="20"/>
          <w:szCs w:val="20"/>
        </w:rPr>
        <w:t>o</w:t>
      </w:r>
      <w:r w:rsidR="0099384B">
        <w:rPr>
          <w:sz w:val="20"/>
          <w:szCs w:val="20"/>
        </w:rPr>
        <w:t>r</w:t>
      </w:r>
      <w:r w:rsidRPr="0099384B">
        <w:rPr>
          <w:sz w:val="20"/>
          <w:szCs w:val="20"/>
        </w:rPr>
        <w:t>. En el paso siguiente se instalará la aplicación</w:t>
      </w:r>
      <w:r w:rsidR="0099384B">
        <w:rPr>
          <w:sz w:val="20"/>
          <w:szCs w:val="20"/>
        </w:rPr>
        <w:t xml:space="preserve"> (dll .NET)</w:t>
      </w:r>
      <w:r w:rsidRPr="0099384B">
        <w:rPr>
          <w:sz w:val="20"/>
          <w:szCs w:val="20"/>
        </w:rPr>
        <w:t xml:space="preserve"> que accederá al web service de Sancor </w:t>
      </w:r>
      <w:r w:rsidR="0099384B">
        <w:rPr>
          <w:sz w:val="20"/>
          <w:szCs w:val="20"/>
        </w:rPr>
        <w:t>desde</w:t>
      </w:r>
      <w:r w:rsidRPr="0099384B">
        <w:rPr>
          <w:sz w:val="20"/>
          <w:szCs w:val="20"/>
        </w:rPr>
        <w:t xml:space="preserve"> SQL Server.</w:t>
      </w:r>
      <w:r w:rsidR="00145B14">
        <w:br w:type="page"/>
      </w:r>
    </w:p>
    <w:p w:rsidR="00AF66E0" w:rsidRDefault="00145B14" w:rsidP="00145B14">
      <w:pPr>
        <w:pStyle w:val="Heading1"/>
      </w:pPr>
      <w:r>
        <w:lastRenderedPageBreak/>
        <w:t xml:space="preserve">INSTALACION DE </w:t>
      </w:r>
      <w:r w:rsidR="005B5587">
        <w:t>COMPONENTE</w:t>
      </w:r>
      <w:r w:rsidR="001921BE">
        <w:t xml:space="preserve"> EN </w:t>
      </w:r>
      <w:r>
        <w:t>SQL</w:t>
      </w:r>
      <w:r w:rsidR="005B5587">
        <w:t xml:space="preserve"> PARA WEB SERVICE DE TARIFACION</w:t>
      </w:r>
    </w:p>
    <w:p w:rsidR="001921BE" w:rsidRDefault="001921BE" w:rsidP="0099384B">
      <w:r>
        <w:br/>
      </w:r>
      <w:r w:rsidRPr="009F62FE">
        <w:rPr>
          <w:sz w:val="20"/>
          <w:szCs w:val="20"/>
        </w:rPr>
        <w:t xml:space="preserve">En el servidor de SQL se crearán 2 assemblies, el que contiene la dll WSSancor.dll y el de serialización WSSancor.XmlSerializers.dll, finalmente se creará la función que será utilizada por </w:t>
      </w:r>
      <w:r w:rsidR="003377D2">
        <w:rPr>
          <w:sz w:val="20"/>
          <w:szCs w:val="20"/>
        </w:rPr>
        <w:t xml:space="preserve">el usuario </w:t>
      </w:r>
      <w:r w:rsidRPr="009F62FE">
        <w:rPr>
          <w:sz w:val="20"/>
          <w:szCs w:val="20"/>
        </w:rPr>
        <w:t>para consumir el web service.</w:t>
      </w:r>
    </w:p>
    <w:p w:rsidR="009F62FE" w:rsidRDefault="009F62FE" w:rsidP="009F62FE">
      <w:pPr>
        <w:pStyle w:val="Heading1"/>
      </w:pPr>
      <w:r>
        <w:t>Prerequisitos</w:t>
      </w:r>
    </w:p>
    <w:p w:rsidR="00C928FB" w:rsidRPr="00C928FB" w:rsidRDefault="00C928FB" w:rsidP="00C928FB"/>
    <w:p w:rsidR="009F62FE" w:rsidRPr="002C1631" w:rsidRDefault="0070158C" w:rsidP="0099384B">
      <w:pPr>
        <w:rPr>
          <w:sz w:val="20"/>
          <w:szCs w:val="20"/>
          <w:lang w:val="en-US"/>
        </w:rPr>
      </w:pPr>
      <w:r>
        <w:rPr>
          <w:sz w:val="20"/>
          <w:szCs w:val="20"/>
        </w:rPr>
        <w:t>Habilitar el C</w:t>
      </w:r>
      <w:r w:rsidR="009F62FE" w:rsidRPr="009F62FE">
        <w:rPr>
          <w:sz w:val="20"/>
          <w:szCs w:val="20"/>
        </w:rPr>
        <w:t>L</w:t>
      </w:r>
      <w:r>
        <w:rPr>
          <w:sz w:val="20"/>
          <w:szCs w:val="20"/>
        </w:rPr>
        <w:t>R</w:t>
      </w:r>
      <w:r w:rsidR="009F62FE" w:rsidRPr="009F62FE">
        <w:rPr>
          <w:sz w:val="20"/>
          <w:szCs w:val="20"/>
        </w:rPr>
        <w:t xml:space="preserve"> en el servidor SQL. </w:t>
      </w:r>
      <w:r w:rsidRPr="00215A35">
        <w:rPr>
          <w:sz w:val="20"/>
          <w:szCs w:val="20"/>
          <w:lang w:val="en-US"/>
        </w:rPr>
        <w:t xml:space="preserve">Ejecutar </w:t>
      </w:r>
      <w:r w:rsidR="009F62FE" w:rsidRPr="00215A35">
        <w:rPr>
          <w:sz w:val="20"/>
          <w:szCs w:val="20"/>
          <w:lang w:val="en-US"/>
        </w:rPr>
        <w:t>el siguiente script.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'show advanced options'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  <w:r w:rsidRPr="002C16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>go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reconfigure</w:t>
      </w:r>
      <w:r w:rsidRPr="002C16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>go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'clr enabled'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'1'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>go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reconfigure</w:t>
      </w:r>
      <w:r w:rsidRPr="002C16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 Turn advanced options back off</w:t>
      </w:r>
    </w:p>
    <w:p w:rsidR="009F62FE" w:rsidRPr="002C1631" w:rsidRDefault="009F62FE" w:rsidP="009F6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sp_configure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'show advanced options'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'0'</w:t>
      </w:r>
      <w:r w:rsidRPr="002C16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F62FE" w:rsidRDefault="009F62FE" w:rsidP="009F62F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9F62FE" w:rsidRPr="009F62FE" w:rsidRDefault="009F62FE" w:rsidP="009F62FE">
      <w:pPr>
        <w:rPr>
          <w:sz w:val="20"/>
          <w:szCs w:val="20"/>
        </w:rPr>
      </w:pPr>
      <w:r w:rsidRPr="009F62FE">
        <w:rPr>
          <w:sz w:val="20"/>
          <w:szCs w:val="20"/>
        </w:rPr>
        <w:t xml:space="preserve">Dar permiso de TRUSTWORTHY a la base de datos </w:t>
      </w:r>
    </w:p>
    <w:p w:rsidR="009F62FE" w:rsidRPr="002C1631" w:rsidRDefault="009F62FE" w:rsidP="009F62FE">
      <w:pPr>
        <w:rPr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CUITS </w:t>
      </w: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TRUSTWORTHY </w:t>
      </w: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DF5781" w:rsidRDefault="00D95C44" w:rsidP="00AD45AE">
      <w:pPr>
        <w:jc w:val="center"/>
      </w:pPr>
      <w:r>
        <w:rPr>
          <w:noProof/>
        </w:rPr>
        <w:drawing>
          <wp:inline distT="0" distB="0" distL="0" distR="0">
            <wp:extent cx="1946108" cy="29033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78" cy="290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AE" w:rsidRPr="00AD45AE" w:rsidRDefault="00AD45AE" w:rsidP="00AD45AE">
      <w:pPr>
        <w:jc w:val="center"/>
        <w:rPr>
          <w:sz w:val="18"/>
          <w:szCs w:val="18"/>
        </w:rPr>
      </w:pPr>
      <w:r w:rsidRPr="00AD45AE">
        <w:rPr>
          <w:sz w:val="18"/>
          <w:szCs w:val="18"/>
        </w:rPr>
        <w:t>Estado del servidor antes de la instalación</w:t>
      </w:r>
    </w:p>
    <w:p w:rsidR="00AD45AE" w:rsidRDefault="00AD45AE" w:rsidP="00AD45AE">
      <w:pPr>
        <w:jc w:val="center"/>
      </w:pPr>
    </w:p>
    <w:p w:rsidR="00D95C44" w:rsidRDefault="00D95C44" w:rsidP="001921BE">
      <w:pPr>
        <w:pStyle w:val="Heading1"/>
      </w:pPr>
      <w:r>
        <w:lastRenderedPageBreak/>
        <w:t>Instalación de los assemblies</w:t>
      </w:r>
    </w:p>
    <w:p w:rsidR="00C928FB" w:rsidRPr="00C928FB" w:rsidRDefault="00C928FB" w:rsidP="00C928FB"/>
    <w:p w:rsidR="00D95C44" w:rsidRDefault="00D95C44" w:rsidP="0099384B">
      <w:pPr>
        <w:rPr>
          <w:sz w:val="20"/>
          <w:szCs w:val="20"/>
        </w:rPr>
      </w:pPr>
      <w:r w:rsidRPr="009F62FE">
        <w:rPr>
          <w:sz w:val="20"/>
          <w:szCs w:val="20"/>
        </w:rPr>
        <w:t xml:space="preserve">Ir a la carpeta </w:t>
      </w:r>
      <w:r w:rsidR="00C15856">
        <w:rPr>
          <w:sz w:val="20"/>
          <w:szCs w:val="20"/>
        </w:rPr>
        <w:t>Programability\A</w:t>
      </w:r>
      <w:r w:rsidRPr="009F62FE">
        <w:rPr>
          <w:sz w:val="20"/>
          <w:szCs w:val="20"/>
        </w:rPr>
        <w:t>ssem</w:t>
      </w:r>
      <w:r w:rsidR="001921BE" w:rsidRPr="009F62FE">
        <w:rPr>
          <w:sz w:val="20"/>
          <w:szCs w:val="20"/>
        </w:rPr>
        <w:t>b</w:t>
      </w:r>
      <w:r w:rsidRPr="009F62FE">
        <w:rPr>
          <w:sz w:val="20"/>
          <w:szCs w:val="20"/>
        </w:rPr>
        <w:t>lies</w:t>
      </w:r>
      <w:r w:rsidR="00C15856">
        <w:rPr>
          <w:sz w:val="20"/>
          <w:szCs w:val="20"/>
        </w:rPr>
        <w:t xml:space="preserve"> de SQL Server</w:t>
      </w:r>
      <w:r w:rsidRPr="009F62FE">
        <w:rPr>
          <w:sz w:val="20"/>
          <w:szCs w:val="20"/>
        </w:rPr>
        <w:t xml:space="preserve">, seleccionar </w:t>
      </w:r>
      <w:r w:rsidR="001921BE" w:rsidRPr="009F62FE">
        <w:rPr>
          <w:sz w:val="20"/>
          <w:szCs w:val="20"/>
        </w:rPr>
        <w:t>“</w:t>
      </w:r>
      <w:r w:rsidRPr="009F62FE">
        <w:rPr>
          <w:sz w:val="20"/>
          <w:szCs w:val="20"/>
        </w:rPr>
        <w:t>New Assembly</w:t>
      </w:r>
      <w:r w:rsidR="001921BE" w:rsidRPr="009F62FE">
        <w:rPr>
          <w:sz w:val="20"/>
          <w:szCs w:val="20"/>
        </w:rPr>
        <w:t>”. Click en Browse y seleccionar el archivo WSSancor.dll, a continuación establecer el Persmission Set como “Unsafe”, y por último establecer el valor Assembly owner como [dbo], como muestan las siguientes imágenes.</w:t>
      </w:r>
    </w:p>
    <w:p w:rsidR="00C928FB" w:rsidRPr="009F62FE" w:rsidRDefault="00C928FB" w:rsidP="0099384B">
      <w:pPr>
        <w:rPr>
          <w:sz w:val="20"/>
          <w:szCs w:val="20"/>
        </w:rPr>
      </w:pPr>
    </w:p>
    <w:p w:rsidR="00D95C44" w:rsidRDefault="001921BE" w:rsidP="001921BE">
      <w:pPr>
        <w:jc w:val="center"/>
      </w:pPr>
      <w:r>
        <w:rPr>
          <w:noProof/>
        </w:rPr>
        <w:drawing>
          <wp:inline distT="0" distB="0" distL="0" distR="0">
            <wp:extent cx="4060582" cy="36576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13" cy="365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1BE" w:rsidRDefault="001921BE" w:rsidP="001921BE">
      <w:pPr>
        <w:jc w:val="center"/>
      </w:pPr>
      <w:r>
        <w:rPr>
          <w:noProof/>
        </w:rPr>
        <w:lastRenderedPageBreak/>
        <w:drawing>
          <wp:inline distT="0" distB="0" distL="0" distR="0">
            <wp:extent cx="4117765" cy="362551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2" cy="362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1BE" w:rsidRDefault="001921BE" w:rsidP="001921BE">
      <w:pPr>
        <w:jc w:val="center"/>
      </w:pPr>
      <w:r>
        <w:rPr>
          <w:noProof/>
        </w:rPr>
        <w:drawing>
          <wp:inline distT="0" distB="0" distL="0" distR="0">
            <wp:extent cx="4018948" cy="3623134"/>
            <wp:effectExtent l="19050" t="0" r="60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48" cy="362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AE" w:rsidRPr="00AD45AE" w:rsidRDefault="00AD45AE" w:rsidP="001921BE">
      <w:pPr>
        <w:jc w:val="center"/>
        <w:rPr>
          <w:sz w:val="18"/>
          <w:szCs w:val="18"/>
        </w:rPr>
      </w:pPr>
      <w:r>
        <w:rPr>
          <w:sz w:val="18"/>
          <w:szCs w:val="18"/>
        </w:rPr>
        <w:t>Pasos para la instalación de los assemblies en SQL Server</w:t>
      </w:r>
    </w:p>
    <w:p w:rsidR="00AD45AE" w:rsidRDefault="00AD45AE" w:rsidP="0099384B">
      <w:pPr>
        <w:rPr>
          <w:sz w:val="20"/>
          <w:szCs w:val="20"/>
        </w:rPr>
      </w:pPr>
    </w:p>
    <w:p w:rsidR="00C15856" w:rsidRDefault="00C15856" w:rsidP="0099384B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Repetir los mismos pasos para el asembly WSSancor.XmlSerializers.dll.</w:t>
      </w:r>
    </w:p>
    <w:p w:rsidR="00DF5781" w:rsidRPr="009F62FE" w:rsidRDefault="001921BE" w:rsidP="0099384B">
      <w:pPr>
        <w:rPr>
          <w:sz w:val="20"/>
          <w:szCs w:val="20"/>
        </w:rPr>
      </w:pPr>
      <w:r w:rsidRPr="009F62FE">
        <w:rPr>
          <w:sz w:val="20"/>
          <w:szCs w:val="20"/>
        </w:rPr>
        <w:t xml:space="preserve">En este punto ya </w:t>
      </w:r>
      <w:r w:rsidR="001E40F7" w:rsidRPr="009F62FE">
        <w:rPr>
          <w:sz w:val="20"/>
          <w:szCs w:val="20"/>
        </w:rPr>
        <w:t>está</w:t>
      </w:r>
      <w:r w:rsidR="001E40F7">
        <w:rPr>
          <w:sz w:val="20"/>
          <w:szCs w:val="20"/>
        </w:rPr>
        <w:t>n</w:t>
      </w:r>
      <w:r w:rsidRPr="009F62FE">
        <w:rPr>
          <w:sz w:val="20"/>
          <w:szCs w:val="20"/>
        </w:rPr>
        <w:t xml:space="preserve"> los assemblies instalados, solo resta crear la función.</w:t>
      </w:r>
    </w:p>
    <w:p w:rsidR="001921BE" w:rsidRDefault="001921BE" w:rsidP="001921BE">
      <w:pPr>
        <w:pStyle w:val="Heading1"/>
      </w:pPr>
      <w:r>
        <w:t>Creación de la función SQL</w:t>
      </w:r>
    </w:p>
    <w:p w:rsidR="00C928FB" w:rsidRPr="00C928FB" w:rsidRDefault="00C928FB" w:rsidP="00C928FB"/>
    <w:p w:rsidR="001921BE" w:rsidRPr="009F62FE" w:rsidRDefault="001921BE" w:rsidP="0099384B">
      <w:pPr>
        <w:rPr>
          <w:sz w:val="20"/>
          <w:szCs w:val="20"/>
        </w:rPr>
      </w:pPr>
      <w:r w:rsidRPr="009F62FE">
        <w:rPr>
          <w:sz w:val="20"/>
          <w:szCs w:val="20"/>
        </w:rPr>
        <w:t>Correr el siguiente script en la base de datos seleccionada:</w:t>
      </w:r>
    </w:p>
    <w:p w:rsidR="001921BE" w:rsidRPr="002C1631" w:rsidRDefault="001921BE" w:rsidP="00192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1921BE" w:rsidRPr="002C1631" w:rsidRDefault="001921BE" w:rsidP="00192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1921BE" w:rsidRPr="002C1631" w:rsidRDefault="001921BE" w:rsidP="00192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>go</w:t>
      </w:r>
    </w:p>
    <w:p w:rsidR="001921BE" w:rsidRPr="002C1631" w:rsidRDefault="001921BE" w:rsidP="00192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15856" w:rsidRPr="00C15856" w:rsidRDefault="001921BE" w:rsidP="00C15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C16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2C16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15856" w:rsidRPr="00C1585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="00C15856"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>[FN_Cotizar_ART]</w:t>
      </w:r>
      <w:r w:rsidR="00C15856"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>@CuitEmpresa [bigint]</w:t>
      </w:r>
      <w:r w:rsidR="00C15856"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@CodActividad [int]</w:t>
      </w:r>
      <w:r w:rsidR="00C15856"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@CantTrabajadores [int]</w:t>
      </w:r>
      <w:r w:rsidR="00C15856"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@MasaSalarial [decimal]</w:t>
      </w:r>
      <w:r w:rsidR="00C15856"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>18</w:t>
      </w:r>
      <w:r w:rsidR="00C15856"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="00C15856"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  <w:r w:rsidR="00C15856" w:rsidRPr="002B0030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="002B0030" w:rsidRPr="002B0030">
        <w:rPr>
          <w:rFonts w:ascii="Courier New" w:hAnsi="Courier New" w:cs="Courier New"/>
          <w:noProof/>
          <w:sz w:val="20"/>
          <w:szCs w:val="20"/>
          <w:lang w:val="en-US"/>
        </w:rPr>
        <w:t>, @CodPostal [smallint]</w:t>
      </w:r>
      <w:r w:rsidR="00C15856" w:rsidRPr="002B003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C15856" w:rsidRPr="00C15856" w:rsidRDefault="00C15856" w:rsidP="00C15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1585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[nvarchar]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>4000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85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85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EXECUTE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585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CALLER</w:t>
      </w:r>
    </w:p>
    <w:p w:rsidR="00C15856" w:rsidRDefault="00C15856" w:rsidP="00C15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EXTERNAL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[WSSancor]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[WSSancor.Tarifas]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[CotizarART]</w:t>
      </w:r>
    </w:p>
    <w:p w:rsidR="00C15856" w:rsidRDefault="00C15856" w:rsidP="00C15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62FE" w:rsidRPr="009F62FE" w:rsidRDefault="009F62FE" w:rsidP="00C15856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F62FE">
        <w:rPr>
          <w:sz w:val="20"/>
          <w:szCs w:val="20"/>
        </w:rPr>
        <w:t>Ejemplo de utilización:</w:t>
      </w:r>
    </w:p>
    <w:p w:rsidR="00C15856" w:rsidRDefault="00C15856" w:rsidP="001921BE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15856" w:rsidRPr="00C15856" w:rsidRDefault="00C15856" w:rsidP="001921BE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585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>FN_Cotizar_ART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>30599791716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611093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5856">
        <w:rPr>
          <w:rFonts w:ascii="Courier New" w:hAnsi="Courier New" w:cs="Courier New"/>
          <w:noProof/>
          <w:sz w:val="20"/>
          <w:szCs w:val="20"/>
          <w:lang w:val="en-US"/>
        </w:rPr>
        <w:t xml:space="preserve"> 13200</w:t>
      </w:r>
      <w:r w:rsidR="00215A35">
        <w:rPr>
          <w:rFonts w:ascii="Courier New" w:hAnsi="Courier New" w:cs="Courier New"/>
          <w:noProof/>
          <w:sz w:val="20"/>
          <w:szCs w:val="20"/>
          <w:lang w:val="en-US"/>
        </w:rPr>
        <w:t>, 1425</w:t>
      </w:r>
      <w:r w:rsidRPr="00C1585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F62FE" w:rsidRPr="00294371" w:rsidRDefault="009F62FE" w:rsidP="001921BE">
      <w:pPr>
        <w:rPr>
          <w:sz w:val="20"/>
          <w:szCs w:val="20"/>
          <w:lang w:val="en-US"/>
        </w:rPr>
      </w:pPr>
    </w:p>
    <w:p w:rsidR="00DF5781" w:rsidRDefault="00DF5781" w:rsidP="009F62FE">
      <w:pPr>
        <w:jc w:val="center"/>
      </w:pPr>
      <w:r>
        <w:rPr>
          <w:noProof/>
        </w:rPr>
        <w:drawing>
          <wp:inline distT="0" distB="0" distL="0" distR="0">
            <wp:extent cx="1943636" cy="31923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15" cy="320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AE" w:rsidRPr="00AD45AE" w:rsidRDefault="00AD45AE" w:rsidP="00AD45AE">
      <w:pPr>
        <w:jc w:val="center"/>
        <w:rPr>
          <w:sz w:val="18"/>
          <w:szCs w:val="18"/>
        </w:rPr>
      </w:pPr>
      <w:r w:rsidRPr="00AD45AE">
        <w:rPr>
          <w:sz w:val="18"/>
          <w:szCs w:val="18"/>
        </w:rPr>
        <w:t>Servidor con los as</w:t>
      </w:r>
      <w:r>
        <w:rPr>
          <w:sz w:val="18"/>
          <w:szCs w:val="18"/>
        </w:rPr>
        <w:t>semblies y la función instalada</w:t>
      </w:r>
    </w:p>
    <w:p w:rsidR="002D0135" w:rsidRDefault="002D0135" w:rsidP="002F3D92"/>
    <w:p w:rsidR="002F3D92" w:rsidRDefault="002F3D92" w:rsidP="002F3D92">
      <w:pPr>
        <w:pStyle w:val="Heading1"/>
      </w:pPr>
      <w:r>
        <w:lastRenderedPageBreak/>
        <w:t>Aplicación ejemplo para testear Cotizador</w:t>
      </w:r>
    </w:p>
    <w:p w:rsidR="002F3D92" w:rsidRDefault="002F3D92" w:rsidP="002F3D92"/>
    <w:p w:rsidR="002F3D92" w:rsidRPr="001E40F7" w:rsidRDefault="002F3D92" w:rsidP="002F3D92">
      <w:pPr>
        <w:rPr>
          <w:sz w:val="20"/>
          <w:szCs w:val="20"/>
        </w:rPr>
      </w:pPr>
      <w:r w:rsidRPr="00AD45AE">
        <w:rPr>
          <w:sz w:val="20"/>
          <w:szCs w:val="20"/>
        </w:rPr>
        <w:t>Este es un ejecutable WSSancor.exe que, como ya se comentó esta aplicación sirve para testear la conectividad con el web service sin necesidad de utilizar SQL, los datos están fijos y son los mismos que los usados en la descripción de la función SQL mencionada anteriormente.</w:t>
      </w:r>
    </w:p>
    <w:p w:rsidR="002F3D92" w:rsidRDefault="002F3D92" w:rsidP="009F62FE">
      <w:pPr>
        <w:jc w:val="center"/>
      </w:pPr>
      <w:r>
        <w:rPr>
          <w:noProof/>
        </w:rPr>
        <w:drawing>
          <wp:inline distT="0" distB="0" distL="0" distR="0">
            <wp:extent cx="2603834" cy="2324839"/>
            <wp:effectExtent l="19050" t="0" r="60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424" cy="2324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AE" w:rsidRDefault="00AD45AE" w:rsidP="009F62FE">
      <w:pPr>
        <w:jc w:val="center"/>
        <w:rPr>
          <w:sz w:val="18"/>
          <w:szCs w:val="18"/>
        </w:rPr>
      </w:pPr>
      <w:r w:rsidRPr="00AD45AE">
        <w:rPr>
          <w:sz w:val="18"/>
          <w:szCs w:val="18"/>
        </w:rPr>
        <w:t>Ejemplo de ejecución del test</w:t>
      </w:r>
    </w:p>
    <w:p w:rsidR="005B5587" w:rsidRDefault="005B55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5587" w:rsidRDefault="005B5587" w:rsidP="005B5587">
      <w:pPr>
        <w:pStyle w:val="Heading1"/>
      </w:pPr>
      <w:r>
        <w:lastRenderedPageBreak/>
        <w:t>INSTALACION DE SERVICIO DE WINDOWS PARA USO DEL WEB SERVICE DE CUENTA CORRIENTE</w:t>
      </w:r>
    </w:p>
    <w:p w:rsidR="00AD45AE" w:rsidRPr="00A23534" w:rsidRDefault="00AD45AE" w:rsidP="00AD45AE">
      <w:pPr>
        <w:rPr>
          <w:sz w:val="20"/>
          <w:szCs w:val="20"/>
        </w:rPr>
      </w:pPr>
    </w:p>
    <w:p w:rsidR="00693E63" w:rsidRPr="00A23534" w:rsidRDefault="00693E63" w:rsidP="00AD45AE">
      <w:pPr>
        <w:rPr>
          <w:sz w:val="20"/>
          <w:szCs w:val="20"/>
        </w:rPr>
      </w:pPr>
      <w:r w:rsidRPr="00A23534">
        <w:rPr>
          <w:sz w:val="20"/>
          <w:szCs w:val="20"/>
        </w:rPr>
        <w:t>Pasos de instalación:</w:t>
      </w:r>
    </w:p>
    <w:p w:rsidR="00293767" w:rsidRDefault="00693E63" w:rsidP="00AD45AE">
      <w:pPr>
        <w:rPr>
          <w:sz w:val="20"/>
          <w:szCs w:val="20"/>
        </w:rPr>
      </w:pPr>
      <w:r w:rsidRPr="00A23534">
        <w:rPr>
          <w:sz w:val="20"/>
          <w:szCs w:val="20"/>
        </w:rPr>
        <w:t xml:space="preserve">-. </w:t>
      </w:r>
      <w:r w:rsidR="00293767" w:rsidRPr="00A23534">
        <w:rPr>
          <w:sz w:val="20"/>
          <w:szCs w:val="20"/>
        </w:rPr>
        <w:t xml:space="preserve">Correr el script </w:t>
      </w:r>
      <w:r w:rsidR="005C5DEC">
        <w:rPr>
          <w:sz w:val="20"/>
          <w:szCs w:val="20"/>
        </w:rPr>
        <w:t>“</w:t>
      </w:r>
      <w:r w:rsidR="005C5DEC" w:rsidRPr="005C5DEC">
        <w:rPr>
          <w:sz w:val="20"/>
          <w:szCs w:val="20"/>
        </w:rPr>
        <w:t xml:space="preserve">dbo.WSSancorCtaCteRequest.Table.sql” </w:t>
      </w:r>
      <w:r w:rsidR="00293767" w:rsidRPr="00A23534">
        <w:rPr>
          <w:sz w:val="20"/>
          <w:szCs w:val="20"/>
        </w:rPr>
        <w:t>que genera la tabla WSSancorCtaCteRequest</w:t>
      </w:r>
      <w:r w:rsidR="00A23534">
        <w:rPr>
          <w:sz w:val="20"/>
          <w:szCs w:val="20"/>
        </w:rPr>
        <w:t xml:space="preserve"> provisto en la solución</w:t>
      </w:r>
      <w:r w:rsidR="00293767" w:rsidRPr="00A23534">
        <w:rPr>
          <w:sz w:val="20"/>
          <w:szCs w:val="20"/>
        </w:rPr>
        <w:t xml:space="preserve">, mantener esta tabla </w:t>
      </w:r>
      <w:r w:rsidR="00A23534">
        <w:rPr>
          <w:sz w:val="20"/>
          <w:szCs w:val="20"/>
        </w:rPr>
        <w:t>SIN</w:t>
      </w:r>
      <w:r w:rsidR="00293767" w:rsidRPr="00A23534">
        <w:rPr>
          <w:sz w:val="20"/>
          <w:szCs w:val="20"/>
        </w:rPr>
        <w:t xml:space="preserve"> registros </w:t>
      </w:r>
      <w:r w:rsidR="00A23534">
        <w:rPr>
          <w:sz w:val="20"/>
          <w:szCs w:val="20"/>
        </w:rPr>
        <w:t xml:space="preserve">o con registros en estado </w:t>
      </w:r>
      <w:r w:rsidR="00A23534" w:rsidRPr="00A23534">
        <w:rPr>
          <w:sz w:val="20"/>
          <w:szCs w:val="20"/>
        </w:rPr>
        <w:t>“1</w:t>
      </w:r>
      <w:r w:rsidR="00A23534">
        <w:rPr>
          <w:sz w:val="20"/>
          <w:szCs w:val="20"/>
        </w:rPr>
        <w:t xml:space="preserve">” (finalizado),  </w:t>
      </w:r>
      <w:r w:rsidR="00293767" w:rsidRPr="00A23534">
        <w:rPr>
          <w:sz w:val="20"/>
          <w:szCs w:val="20"/>
        </w:rPr>
        <w:t xml:space="preserve">para que </w:t>
      </w:r>
      <w:r w:rsidR="00A23534">
        <w:rPr>
          <w:sz w:val="20"/>
          <w:szCs w:val="20"/>
        </w:rPr>
        <w:t xml:space="preserve">se </w:t>
      </w:r>
      <w:r w:rsidR="00293767" w:rsidRPr="00A23534">
        <w:rPr>
          <w:sz w:val="20"/>
          <w:szCs w:val="20"/>
        </w:rPr>
        <w:t xml:space="preserve">pueda subir el servicio </w:t>
      </w:r>
      <w:r w:rsidR="00A23534">
        <w:rPr>
          <w:sz w:val="20"/>
          <w:szCs w:val="20"/>
        </w:rPr>
        <w:t>sin inconvenientes</w:t>
      </w:r>
      <w:r w:rsidR="00293767" w:rsidRPr="00A23534">
        <w:rPr>
          <w:sz w:val="20"/>
          <w:szCs w:val="20"/>
        </w:rPr>
        <w:t>.</w:t>
      </w:r>
    </w:p>
    <w:p w:rsidR="0015331E" w:rsidRDefault="0015331E" w:rsidP="00AD45AE">
      <w:pPr>
        <w:rPr>
          <w:sz w:val="20"/>
          <w:szCs w:val="20"/>
        </w:rPr>
      </w:pPr>
      <w:r>
        <w:rPr>
          <w:sz w:val="20"/>
          <w:szCs w:val="20"/>
        </w:rPr>
        <w:t>-. Cambiar el valor del connection string en el archivo “</w:t>
      </w:r>
      <w:r w:rsidRPr="0015331E">
        <w:rPr>
          <w:sz w:val="20"/>
          <w:szCs w:val="20"/>
        </w:rPr>
        <w:t>WSSancorService.exe.config</w:t>
      </w:r>
      <w:r>
        <w:rPr>
          <w:sz w:val="20"/>
          <w:szCs w:val="20"/>
        </w:rPr>
        <w:t>”.</w:t>
      </w:r>
      <w:r w:rsidR="00CB6317">
        <w:rPr>
          <w:sz w:val="20"/>
          <w:szCs w:val="20"/>
        </w:rPr>
        <w:t xml:space="preserve"> En este mismo archivo se puede cambiar la configuración del web service de Sancor como la url donde apunta y el lugar donde se ha almacenado el certificado a utilizar para conectar con el mismo.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system.serviceModel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bindings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basicHttpBinding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binding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name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requestReplyRoutingEndpoint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security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mode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Transport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transport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clientCredentialType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Certificate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 /&gt;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&lt;/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security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&lt;/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binding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binding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name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BasicHttpBinding_IARTServices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 /&gt;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&lt;/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basicHttpBinding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&lt;/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bindings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client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endpoint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address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https://200.41.127.78/CurrentAccountARTPublicServices/ARTAccountingServices.svc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behaviorConfiguration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httpbehaviorARTServices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"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binding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basicHttpBinding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bindingConfiguration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requestReplyRoutingEndpoint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"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contract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ARTServices.IARTServices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name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BasicHttpBinding_IARTServices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 /&gt;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&lt;/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client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behaviors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endpointBehaviors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behavior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name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httpbehaviorARTServices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clientCredentials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  &lt;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clientCertificate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findValue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usrConsulGroup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                    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storeLocation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LocalMachine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                    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storeName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                     </w:t>
      </w:r>
      <w:r w:rsidRPr="00CB6317">
        <w:rPr>
          <w:rFonts w:ascii="Consolas" w:hAnsi="Consolas" w:cs="Consolas"/>
          <w:color w:val="92CAF4"/>
          <w:sz w:val="19"/>
          <w:szCs w:val="19"/>
          <w:highlight w:val="black"/>
          <w:lang w:val="en-US"/>
        </w:rPr>
        <w:t>x509FindType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="</w:t>
      </w:r>
      <w:r w:rsidRPr="00CB6317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FindBySubjectName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"/&gt;</w:t>
      </w:r>
    </w:p>
    <w:p w:rsidR="00CB6317" w:rsidRPr="00CB6317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  &lt;/</w:t>
      </w:r>
      <w:r w:rsidRPr="00CB631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clientCredentials</w:t>
      </w: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EE3642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CB6317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  </w:t>
      </w: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&lt;/</w:t>
      </w:r>
      <w:r w:rsidRPr="00EE36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behavior</w:t>
      </w: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EE3642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  &lt;/</w:t>
      </w:r>
      <w:r w:rsidRPr="00EE36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endpointBehaviors</w:t>
      </w: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EE3642" w:rsidRDefault="00CB6317" w:rsidP="00CB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  &lt;/</w:t>
      </w:r>
      <w:r w:rsidRPr="00EE36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behaviors</w:t>
      </w: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CB6317" w:rsidRPr="00EE3642" w:rsidRDefault="00CB6317" w:rsidP="00CB6317">
      <w:pPr>
        <w:rPr>
          <w:sz w:val="12"/>
          <w:szCs w:val="12"/>
          <w:lang w:val="en-US"/>
        </w:rPr>
      </w:pP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 xml:space="preserve">  &lt;/</w:t>
      </w:r>
      <w:r w:rsidRPr="00EE364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system.serviceModel</w:t>
      </w:r>
      <w:r w:rsidRPr="00EE3642">
        <w:rPr>
          <w:rFonts w:ascii="Consolas" w:hAnsi="Consolas" w:cs="Consolas"/>
          <w:color w:val="808080"/>
          <w:sz w:val="19"/>
          <w:szCs w:val="19"/>
          <w:highlight w:val="black"/>
          <w:lang w:val="en-US"/>
        </w:rPr>
        <w:t>&gt;</w:t>
      </w:r>
    </w:p>
    <w:p w:rsidR="00293767" w:rsidRPr="00A23534" w:rsidRDefault="00693E63" w:rsidP="00AD45AE">
      <w:pPr>
        <w:rPr>
          <w:sz w:val="20"/>
          <w:szCs w:val="20"/>
        </w:rPr>
      </w:pPr>
      <w:r w:rsidRPr="00EE3642">
        <w:rPr>
          <w:sz w:val="20"/>
          <w:szCs w:val="20"/>
          <w:lang w:val="en-US"/>
        </w:rPr>
        <w:t xml:space="preserve">-. </w:t>
      </w:r>
      <w:r w:rsidR="00293767" w:rsidRPr="00A23534">
        <w:rPr>
          <w:sz w:val="20"/>
          <w:szCs w:val="20"/>
        </w:rPr>
        <w:t xml:space="preserve">Ejecutar el snippet de SQL “service-broker-snippet.sql” provisto con la solución </w:t>
      </w:r>
      <w:r w:rsidRPr="00A23534">
        <w:rPr>
          <w:sz w:val="20"/>
          <w:szCs w:val="20"/>
        </w:rPr>
        <w:t xml:space="preserve">que configurará SQL </w:t>
      </w:r>
      <w:r w:rsidR="00293767" w:rsidRPr="00A23534">
        <w:rPr>
          <w:sz w:val="20"/>
          <w:szCs w:val="20"/>
        </w:rPr>
        <w:t>para que “escuche” cuando se ingresen registros a la tabla</w:t>
      </w:r>
      <w:r w:rsidRPr="00A23534">
        <w:rPr>
          <w:sz w:val="20"/>
          <w:szCs w:val="20"/>
        </w:rPr>
        <w:t xml:space="preserve"> WSSancorCtaCteRequest, </w:t>
      </w:r>
      <w:r w:rsidR="00293767" w:rsidRPr="00A23534">
        <w:rPr>
          <w:sz w:val="20"/>
          <w:szCs w:val="20"/>
        </w:rPr>
        <w:t>para luego enviar la peticiona al Windows Service que ejecuta el Web Service de consulta de cuenta corriente.</w:t>
      </w:r>
      <w:r w:rsidR="0058554C">
        <w:rPr>
          <w:sz w:val="20"/>
          <w:szCs w:val="20"/>
        </w:rPr>
        <w:t xml:space="preserve"> Reemplazar los valores de dominio\usuario y nombre de base de datos.</w:t>
      </w:r>
    </w:p>
    <w:p w:rsidR="005B5587" w:rsidRPr="00A23534" w:rsidRDefault="00693E63" w:rsidP="00AD45AE">
      <w:pPr>
        <w:rPr>
          <w:sz w:val="20"/>
          <w:szCs w:val="20"/>
        </w:rPr>
      </w:pPr>
      <w:r w:rsidRPr="00A23534">
        <w:rPr>
          <w:sz w:val="20"/>
          <w:szCs w:val="20"/>
        </w:rPr>
        <w:lastRenderedPageBreak/>
        <w:t xml:space="preserve">-. </w:t>
      </w:r>
      <w:r w:rsidR="00293767" w:rsidRPr="00A23534">
        <w:rPr>
          <w:sz w:val="20"/>
          <w:szCs w:val="20"/>
        </w:rPr>
        <w:t>Instalar el servicio abriendo la consola de Windows</w:t>
      </w:r>
      <w:r w:rsidR="0058554C">
        <w:rPr>
          <w:sz w:val="20"/>
          <w:szCs w:val="20"/>
        </w:rPr>
        <w:t xml:space="preserve"> desde command prompt</w:t>
      </w:r>
      <w:r w:rsidR="00293767" w:rsidRPr="00A23534">
        <w:rPr>
          <w:sz w:val="20"/>
          <w:szCs w:val="20"/>
        </w:rPr>
        <w:t xml:space="preserve"> como “ADMINISTRADOR”, luego registrar el servicio de la siguiente manera:</w:t>
      </w:r>
    </w:p>
    <w:p w:rsidR="005B5587" w:rsidRPr="005D1B92" w:rsidRDefault="005B5587" w:rsidP="005B5587">
      <w:pPr>
        <w:rPr>
          <w:sz w:val="20"/>
          <w:szCs w:val="20"/>
          <w:lang w:val="en-US"/>
        </w:rPr>
      </w:pPr>
      <w:r w:rsidRPr="005D1B92">
        <w:rPr>
          <w:sz w:val="20"/>
          <w:szCs w:val="20"/>
          <w:lang w:val="en-US"/>
        </w:rPr>
        <w:t xml:space="preserve">C:\Windows\system32&gt;installutil /i </w:t>
      </w:r>
      <w:r w:rsidR="00F30CA8" w:rsidRPr="005D1B92">
        <w:rPr>
          <w:sz w:val="20"/>
          <w:szCs w:val="20"/>
          <w:lang w:val="en-US"/>
        </w:rPr>
        <w:t>c:\PATH</w:t>
      </w:r>
      <w:r w:rsidRPr="005D1B92">
        <w:rPr>
          <w:sz w:val="20"/>
          <w:szCs w:val="20"/>
          <w:lang w:val="en-US"/>
        </w:rPr>
        <w:t>\WSSancorService.exe</w:t>
      </w:r>
    </w:p>
    <w:p w:rsidR="00293767" w:rsidRDefault="00293767" w:rsidP="005B5587">
      <w:pPr>
        <w:rPr>
          <w:sz w:val="20"/>
          <w:szCs w:val="20"/>
        </w:rPr>
      </w:pPr>
      <w:r w:rsidRPr="00A23534">
        <w:rPr>
          <w:sz w:val="20"/>
          <w:szCs w:val="20"/>
        </w:rPr>
        <w:t xml:space="preserve">A continuación abrir la consola de Windows Services </w:t>
      </w:r>
      <w:r w:rsidR="005D1B92">
        <w:rPr>
          <w:sz w:val="20"/>
          <w:szCs w:val="20"/>
        </w:rPr>
        <w:t xml:space="preserve">escribiendo en la barra de búsqueda de Windows “services.msc”,  </w:t>
      </w:r>
      <w:r w:rsidRPr="00A23534">
        <w:rPr>
          <w:sz w:val="20"/>
          <w:szCs w:val="20"/>
        </w:rPr>
        <w:t>buscar el servicio</w:t>
      </w:r>
      <w:r w:rsidR="005D1B92">
        <w:rPr>
          <w:sz w:val="20"/>
          <w:szCs w:val="20"/>
        </w:rPr>
        <w:t xml:space="preserve"> WSSancorService e iniciarlo </w:t>
      </w:r>
      <w:r w:rsidRPr="00A23534">
        <w:rPr>
          <w:sz w:val="20"/>
          <w:szCs w:val="20"/>
        </w:rPr>
        <w:t>presiona</w:t>
      </w:r>
      <w:r w:rsidR="005D1B92">
        <w:rPr>
          <w:sz w:val="20"/>
          <w:szCs w:val="20"/>
        </w:rPr>
        <w:t>ndo</w:t>
      </w:r>
      <w:r w:rsidRPr="00A23534">
        <w:rPr>
          <w:sz w:val="20"/>
          <w:szCs w:val="20"/>
        </w:rPr>
        <w:t xml:space="preserve"> “PLAY”.</w:t>
      </w:r>
    </w:p>
    <w:p w:rsidR="002068D8" w:rsidRDefault="00EE3642" w:rsidP="005B5587">
      <w:pPr>
        <w:rPr>
          <w:sz w:val="20"/>
          <w:szCs w:val="20"/>
        </w:rPr>
      </w:pPr>
      <w:r>
        <w:rPr>
          <w:sz w:val="20"/>
          <w:szCs w:val="20"/>
        </w:rPr>
        <w:t>En este punto ya está funcionando el servicio, solo resta a</w:t>
      </w:r>
      <w:bookmarkStart w:id="0" w:name="_GoBack"/>
      <w:bookmarkEnd w:id="0"/>
      <w:r w:rsidR="002068D8">
        <w:rPr>
          <w:sz w:val="20"/>
          <w:szCs w:val="20"/>
        </w:rPr>
        <w:t xml:space="preserve">gregar </w:t>
      </w:r>
      <w:r w:rsidR="00C95004">
        <w:rPr>
          <w:sz w:val="20"/>
          <w:szCs w:val="20"/>
        </w:rPr>
        <w:t xml:space="preserve">o modificar </w:t>
      </w:r>
      <w:r w:rsidR="002068D8">
        <w:rPr>
          <w:sz w:val="20"/>
          <w:szCs w:val="20"/>
        </w:rPr>
        <w:t xml:space="preserve">registros en la tabla </w:t>
      </w:r>
      <w:r w:rsidR="002068D8" w:rsidRPr="00A23534">
        <w:rPr>
          <w:sz w:val="20"/>
          <w:szCs w:val="20"/>
        </w:rPr>
        <w:t>WSSancorCtaCteRequest</w:t>
      </w:r>
      <w:r w:rsidR="00C95004">
        <w:rPr>
          <w:sz w:val="20"/>
          <w:szCs w:val="20"/>
        </w:rPr>
        <w:t xml:space="preserve"> pasándolos a</w:t>
      </w:r>
      <w:r>
        <w:rPr>
          <w:sz w:val="20"/>
          <w:szCs w:val="20"/>
        </w:rPr>
        <w:t>l estado “0” (pendiente).</w:t>
      </w:r>
    </w:p>
    <w:p w:rsidR="00CB6317" w:rsidRPr="00A23534" w:rsidRDefault="00CB6317" w:rsidP="005B5587">
      <w:pPr>
        <w:rPr>
          <w:sz w:val="20"/>
          <w:szCs w:val="20"/>
        </w:rPr>
      </w:pPr>
    </w:p>
    <w:p w:rsidR="00693E63" w:rsidRDefault="00693E63" w:rsidP="005B5587">
      <w:pPr>
        <w:rPr>
          <w:color w:val="FF0000"/>
          <w:sz w:val="18"/>
          <w:szCs w:val="18"/>
        </w:rPr>
      </w:pPr>
    </w:p>
    <w:p w:rsidR="00693E63" w:rsidRPr="00293767" w:rsidRDefault="00693E63" w:rsidP="005B5587">
      <w:pPr>
        <w:rPr>
          <w:color w:val="FF0000"/>
          <w:sz w:val="18"/>
          <w:szCs w:val="18"/>
        </w:rPr>
      </w:pPr>
    </w:p>
    <w:sectPr w:rsidR="00693E63" w:rsidRPr="00293767" w:rsidSect="00DA4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E0"/>
    <w:rsid w:val="00036710"/>
    <w:rsid w:val="00066D7E"/>
    <w:rsid w:val="000750C3"/>
    <w:rsid w:val="000E0F28"/>
    <w:rsid w:val="00145B14"/>
    <w:rsid w:val="0015331E"/>
    <w:rsid w:val="001921BE"/>
    <w:rsid w:val="001E40F7"/>
    <w:rsid w:val="002068D8"/>
    <w:rsid w:val="00215895"/>
    <w:rsid w:val="00215A35"/>
    <w:rsid w:val="00293767"/>
    <w:rsid w:val="00294371"/>
    <w:rsid w:val="002B0030"/>
    <w:rsid w:val="002C1631"/>
    <w:rsid w:val="002C4D49"/>
    <w:rsid w:val="002D0135"/>
    <w:rsid w:val="002E70F6"/>
    <w:rsid w:val="002F3D92"/>
    <w:rsid w:val="003377D2"/>
    <w:rsid w:val="004476B7"/>
    <w:rsid w:val="004F7EFA"/>
    <w:rsid w:val="0058554C"/>
    <w:rsid w:val="005B5587"/>
    <w:rsid w:val="005C5DEC"/>
    <w:rsid w:val="005D1B92"/>
    <w:rsid w:val="00693E63"/>
    <w:rsid w:val="0070158C"/>
    <w:rsid w:val="00803EB3"/>
    <w:rsid w:val="00857F98"/>
    <w:rsid w:val="00881659"/>
    <w:rsid w:val="0099384B"/>
    <w:rsid w:val="009F62FE"/>
    <w:rsid w:val="00A23534"/>
    <w:rsid w:val="00AD45AE"/>
    <w:rsid w:val="00AF66E0"/>
    <w:rsid w:val="00C15856"/>
    <w:rsid w:val="00C928FB"/>
    <w:rsid w:val="00C95004"/>
    <w:rsid w:val="00CB6317"/>
    <w:rsid w:val="00D95C44"/>
    <w:rsid w:val="00DA4A24"/>
    <w:rsid w:val="00DF5781"/>
    <w:rsid w:val="00EE3642"/>
    <w:rsid w:val="00F30CA8"/>
    <w:rsid w:val="00F44C4F"/>
    <w:rsid w:val="00F6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6D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66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D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66D7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66D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00621-EF8F-4328-A824-3D8D6959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8</cp:revision>
  <dcterms:created xsi:type="dcterms:W3CDTF">2014-12-10T01:53:00Z</dcterms:created>
  <dcterms:modified xsi:type="dcterms:W3CDTF">2014-12-10T02:08:00Z</dcterms:modified>
</cp:coreProperties>
</file>