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 w:before="300"/>
        <w:jc w:val="center"/>
      </w:pPr>
      <w:r>
        <w:drawing>
          <wp:inline distT="0" distB="0" distL="0" distR="0">
            <wp:extent cx="14097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5"/>
        <w:jc w:val="center"/>
      </w:pPr>
      <w:r>
        <w:rPr>
          <w:rFonts w:ascii="Aptos" w:cs="Aptos" w:eastAsia="Aptos" w:hAnsi="Aptos"/>
          <w:b/>
          <w:bCs/>
          <w:color w:val="5B9BFF"/>
          <w:spacing w:val="55"/>
          <w:sz w:val="18"/>
          <w:szCs w:val="18"/>
        </w:rPr>
        <w:t xml:space="preserve">SOUND BLUE PROJECT</w:t>
      </w:r>
    </w:p>
    <w:p>
      <w:pPr>
        <w:spacing w:after="150"/>
        <w:jc w:val="center"/>
      </w:pPr>
      <w:r>
        <w:rPr>
          <w:rFonts w:ascii="Aptos Display" w:cs="Aptos Display" w:eastAsia="Aptos Display" w:hAnsi="Aptos Display"/>
          <w:b/>
          <w:bCs/>
          <w:color w:val="0B1220"/>
          <w:sz w:val="44"/>
          <w:szCs w:val="44"/>
        </w:rPr>
        <w:t xml:space="preserve">Guión de defensa</w:t>
      </w:r>
    </w:p>
    <w:p>
      <w:pPr>
        <w:spacing w:after="210"/>
        <w:jc w:val="center"/>
      </w:pPr>
      <w:r>
        <w:rPr>
          <w:rFonts w:ascii="Aptos" w:cs="Aptos" w:eastAsia="Aptos" w:hAnsi="Aptos"/>
          <w:i/>
          <w:iCs/>
          <w:color w:val="56657D"/>
          <w:sz w:val="24"/>
          <w:szCs w:val="24"/>
        </w:rPr>
        <w:t xml:space="preserve">Una guía para explicar el proyecto con claridad, evidencia y honestidad.</w:t>
      </w:r>
    </w:p>
    <w:p>
      <w:pPr>
        <w:spacing w:after="170"/>
        <w:jc w:val="center"/>
      </w:pPr>
      <w:r>
        <w:drawing>
          <wp:inline distT="0" distB="0" distL="0" distR="0">
            <wp:extent cx="4191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  <w:jc w:val="center"/>
      </w:pPr>
      <w:r>
        <w:rPr>
          <w:rFonts w:ascii="Aptos" w:cs="Aptos" w:eastAsia="Aptos" w:hAnsi="Aptos"/>
          <w:color w:val="1C2940"/>
          <w:sz w:val="19"/>
          <w:szCs w:val="19"/>
        </w:rPr>
        <w:t xml:space="preserve">Estudiantes de 3.°, 4.° y 5.° año · EEM N.° 5 D.E. 15 «Monseñor Enrique Angelelli»</w:t>
      </w:r>
    </w:p>
    <w:p>
      <w:pPr>
        <w:spacing w:after="0"/>
        <w:jc w:val="center"/>
      </w:pPr>
      <w:r>
        <w:rPr>
          <w:rFonts w:ascii="Aptos" w:cs="Aptos" w:eastAsia="Aptos" w:hAnsi="Aptos"/>
          <w:color w:val="56657D"/>
          <w:sz w:val="18"/>
          <w:szCs w:val="18"/>
        </w:rPr>
        <w:t xml:space="preserve">Saavedra, CABA · Articulación con JII N.° 2 D.E. 10 «Merceditas»</w:t>
      </w:r>
    </w:p>
    <w:p>
      <w:pPr>
        <w:spacing w:after="110"/>
      </w:pPr>
      <w:r>
        <w:br w:type="page"/>
      </w:r>
    </w:p>
    <w:p>
      <w:pPr>
        <w:spacing w:after="35"/>
      </w:pPr>
      <w:r>
        <w:rPr>
          <w:rFonts w:ascii="Aptos" w:cs="Aptos" w:eastAsia="Aptos" w:hAnsi="Aptos"/>
          <w:b/>
          <w:bCs/>
          <w:color w:val="5B9BFF"/>
          <w:spacing w:val="45"/>
          <w:sz w:val="16"/>
          <w:szCs w:val="16"/>
        </w:rPr>
        <w:t xml:space="preserve">ANTES DE EMPEZAR</w:t>
      </w:r>
    </w:p>
    <w:p>
      <w:pPr>
        <w:pStyle w:val="Heading1"/>
        <w:spacing w:after="170" w:before="80"/>
        <w:rPr>
          <w:rFonts w:ascii="Aptos Display" w:cs="Aptos Display" w:eastAsia="Aptos Display" w:hAnsi="Aptos Display"/>
          <w:b/>
          <w:bCs/>
          <w:color w:val="0B1220"/>
          <w:sz w:val="35"/>
          <w:szCs w:val="35"/>
        </w:rPr>
      </w:pPr>
      <w:r>
        <w:t xml:space="preserve">La regla que más confianza genera</w:t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“No inventamos respuestas.”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> Explicamos lo que hicimos, lo que observamos y lo que todavía estamos probando.</w:t>
      </w:r>
    </w:p>
    <w:p>
      <w:pPr>
        <w:spacing w:after="110"/>
      </w:pPr>
      <w:r>
        <w:rPr>
          <w:rFonts w:ascii="Aptos" w:cs="Aptos" w:eastAsia="Aptos" w:hAnsi="Aptos"/>
          <w:color w:val="1C2940"/>
          <w:sz w:val="21"/>
          <w:szCs w:val="21"/>
        </w:rPr>
        <w:t xml:space="preserve">El evaluador no espera que sepamos todo. Espera que podamos explicar el proceso, distinguir entre una evidencia y una idea, y hablar con respeto sobre las personas a quienes está destinado el proyecto.</w:t>
      </w:r>
    </w:p>
    <w:p>
      <w:pPr>
        <w:pStyle w:val="Heading2"/>
        <w:spacing w:after="90" w:before="130"/>
        <w:rPr>
          <w:rFonts w:ascii="Aptos Display" w:cs="Aptos Display" w:eastAsia="Aptos Display" w:hAnsi="Aptos Display"/>
          <w:b/>
          <w:bCs/>
          <w:color w:val="5B9BFF"/>
          <w:sz w:val="25"/>
          <w:szCs w:val="25"/>
        </w:rPr>
      </w:pPr>
      <w:r>
        <w:t xml:space="preserve">Cómo usar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shd w:fill="0B1220" w:color="auto" w:val="clear"/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746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shd w:fill="0B1220" w:color="auto" w:val="clear"/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c>
          <w:tcPr>
            <w:tcW w:type="dxa" w:w="19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Antes</w:t>
            </w:r>
          </w:p>
        </w:tc>
        <w:tc>
          <w:tcPr>
            <w:tcW w:type="dxa" w:w="746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Repartan los roles. Cada persona debe dominar su parte, pero también poder decir en una frase cómo se conecta con el proyecto completo.</w:t>
            </w:r>
          </w:p>
        </w:tc>
      </w:tr>
      <w:tr>
        <w:tc>
          <w:tcPr>
            <w:tcW w:type="dxa" w:w="19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Durante</w:t>
            </w:r>
          </w:p>
        </w:tc>
        <w:tc>
          <w:tcPr>
            <w:tcW w:type="dxa" w:w="746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No reciten. Miren al evaluador, muestren una evidencia y expliquen por qué tomaron cada decisión.</w:t>
            </w:r>
          </w:p>
        </w:tc>
      </w:tr>
      <w:tr>
        <w:tc>
          <w:tcPr>
            <w:tcW w:type="dxa" w:w="19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Si no saben</w:t>
            </w:r>
          </w:p>
        </w:tc>
        <w:tc>
          <w:tcPr>
            <w:tcW w:type="dxa" w:w="746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Digan: “No lo medimos todavía; lo anotamos como próximo paso”. Es más sólido que adivinar.</w:t>
            </w:r>
          </w:p>
        </w:tc>
      </w:tr>
    </w:tbl>
    <w:p>
      <w:pPr>
        <w:pStyle w:val="Heading2"/>
        <w:spacing w:after="90" w:before="130"/>
        <w:rPr>
          <w:rFonts w:ascii="Aptos Display" w:cs="Aptos Display" w:eastAsia="Aptos Display" w:hAnsi="Aptos Display"/>
          <w:b/>
          <w:bCs/>
          <w:color w:val="5B9BFF"/>
          <w:sz w:val="25"/>
          <w:szCs w:val="25"/>
        </w:rPr>
      </w:pPr>
      <w:r>
        <w:t xml:space="preserve">En una frase</w:t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“Sound Blue Project convierte un problema real de la escuela —el ruido— en una propuesta educativa, tecnológica y de inclusión que se puede ver, probar y mejorar.”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/>
      </w:r>
    </w:p>
    <w:p>
      <w:pPr>
        <w:spacing w:after="110"/>
      </w:pPr>
      <w:r>
        <w:br w:type="page"/>
      </w:r>
    </w:p>
    <w:p>
      <w:pPr>
        <w:spacing w:after="35"/>
      </w:pPr>
      <w:r>
        <w:rPr>
          <w:rFonts w:ascii="Aptos" w:cs="Aptos" w:eastAsia="Aptos" w:hAnsi="Aptos"/>
          <w:b/>
          <w:bCs/>
          <w:color w:val="5B9BFF"/>
          <w:spacing w:val="45"/>
          <w:sz w:val="16"/>
          <w:szCs w:val="16"/>
        </w:rPr>
        <w:t xml:space="preserve">APERTURA</w:t>
      </w:r>
    </w:p>
    <w:p>
      <w:pPr>
        <w:pStyle w:val="Heading1"/>
        <w:spacing w:after="170" w:before="80"/>
        <w:rPr>
          <w:rFonts w:ascii="Aptos Display" w:cs="Aptos Display" w:eastAsia="Aptos Display" w:hAnsi="Aptos Display"/>
          <w:b/>
          <w:bCs/>
          <w:color w:val="0B1220"/>
          <w:sz w:val="35"/>
          <w:szCs w:val="35"/>
        </w:rPr>
      </w:pPr>
      <w:r>
        <w:t xml:space="preserve">Presentación inicial · 45 segundos</w:t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“Buenas tardes. Somos estudiantes de 3.°, 4.° y 5.° año de la EEM N.° 5. Nuestro proyecto se llama Sound Blue Project.”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/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“Partimos de una pregunta simple: ¿qué pasa cuando el ruido de la escuela deja de ser una molestia y se convierte en una barrera para aprender, jugar o participar?”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/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“Por eso fuimos al Jardín Merceditas, observamos el contexto y trabajamos en tres respuestas conectadas: un semáforo de ruido con micro:bit, el cuento “El Oso Milo” y recursos de inclusión sensorial, como los auriculares modelados en 3D.”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/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“No buscamos diagnosticar a nadie. Buscamos hacer visible el problema, abrir una conversación y dejar herramientas que ayuden a construir una convivencia acústica más cuidadosa.”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/>
      </w:r>
    </w:p>
    <w:p>
      <w:pPr>
        <w:pStyle w:val="Heading2"/>
        <w:spacing w:after="90" w:before="130"/>
        <w:rPr>
          <w:rFonts w:ascii="Aptos Display" w:cs="Aptos Display" w:eastAsia="Aptos Display" w:hAnsi="Aptos Display"/>
          <w:b/>
          <w:bCs/>
          <w:color w:val="5B9BFF"/>
          <w:sz w:val="25"/>
          <w:szCs w:val="25"/>
        </w:rPr>
      </w:pPr>
      <w:r>
        <w:t xml:space="preserve">Qué evitar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shd w:fill="0B1220" w:color="auto" w:val="clear"/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Evitar</w:t>
            </w:r>
          </w:p>
        </w:tc>
        <w:tc>
          <w:tcPr>
            <w:tcW w:type="dxa" w:w="468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shd w:fill="0B1220" w:color="auto" w:val="clear"/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Mejor decir</w:t>
            </w:r>
          </w:p>
        </w:tc>
      </w:tr>
      <w:tr>
        <w:tc>
          <w:tcPr>
            <w:tcW w:type="dxa" w:w="468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“Esto soluciona el autismo.”</w:t>
            </w:r>
          </w:p>
        </w:tc>
        <w:tc>
          <w:tcPr>
            <w:tcW w:type="dxa" w:w="468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“Es una herramienta educativa para identificar momentos de ruido y proponer pausas o ajustes.”</w:t>
            </w:r>
          </w:p>
        </w:tc>
      </w:tr>
      <w:tr>
        <w:tc>
          <w:tcPr>
            <w:tcW w:type="dxa" w:w="468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“Medimos X decibeles” si no tienen el dato y el contexto anotado.</w:t>
            </w:r>
          </w:p>
        </w:tc>
        <w:tc>
          <w:tcPr>
            <w:tcW w:type="dxa" w:w="468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“Para mediciones comparables usamos sonómetro y anotamos lugar, horario y condiciones.”</w:t>
            </w:r>
          </w:p>
        </w:tc>
      </w:tr>
      <w:tr>
        <w:tc>
          <w:tcPr>
            <w:tcW w:type="dxa" w:w="468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“Nuestro prototipo es perfecto.”</w:t>
            </w:r>
          </w:p>
        </w:tc>
        <w:tc>
          <w:tcPr>
            <w:tcW w:type="dxa" w:w="468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“Es un prototipo que probamos, registramos y queremos seguir mejorando.”</w:t>
            </w:r>
          </w:p>
        </w:tc>
      </w:tr>
    </w:tbl>
    <w:p>
      <w:pPr>
        <w:spacing w:after="110"/>
      </w:pPr>
      <w:r>
        <w:br w:type="page"/>
      </w:r>
    </w:p>
    <w:p>
      <w:pPr>
        <w:spacing w:after="35"/>
      </w:pPr>
      <w:r>
        <w:rPr>
          <w:rFonts w:ascii="Aptos" w:cs="Aptos" w:eastAsia="Aptos" w:hAnsi="Aptos"/>
          <w:b/>
          <w:bCs/>
          <w:color w:val="5B9BFF"/>
          <w:spacing w:val="45"/>
          <w:sz w:val="16"/>
          <w:szCs w:val="16"/>
        </w:rPr>
        <w:t xml:space="preserve">RECORRIDO DEL STAND</w:t>
      </w:r>
    </w:p>
    <w:p>
      <w:pPr>
        <w:pStyle w:val="Heading1"/>
        <w:spacing w:after="170" w:before="80"/>
        <w:rPr>
          <w:rFonts w:ascii="Aptos Display" w:cs="Aptos Display" w:eastAsia="Aptos Display" w:hAnsi="Aptos Display"/>
          <w:b/>
          <w:bCs/>
          <w:color w:val="0B1220"/>
          <w:sz w:val="35"/>
          <w:szCs w:val="35"/>
        </w:rPr>
      </w:pPr>
      <w:r>
        <w:t xml:space="preserve">Qué mostrar y qué decir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800"/>
        <w:gridCol w:w="5110"/>
      </w:tblGrid>
      <w:tr>
        <w:tc>
          <w:tcPr>
            <w:tcW w:type="dxa" w:w="1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shd w:fill="0B1220" w:color="auto" w:val="clear"/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Parada</w:t>
            </w:r>
          </w:p>
        </w:tc>
        <w:tc>
          <w:tcPr>
            <w:tcW w:type="dxa" w:w="28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shd w:fill="0B1220" w:color="auto" w:val="clear"/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Mostrar</w:t>
            </w:r>
          </w:p>
        </w:tc>
        <w:tc>
          <w:tcPr>
            <w:tcW w:type="dxa" w:w="51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shd w:fill="0B1220" w:color="auto" w:val="clear"/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Idea fuerza</w:t>
            </w:r>
          </w:p>
        </w:tc>
      </w:tr>
      <w:tr>
        <w:tc>
          <w:tcPr>
            <w:tcW w:type="dxa" w:w="1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1. Problema</w:t>
            </w:r>
          </w:p>
        </w:tc>
        <w:tc>
          <w:tcPr>
            <w:tcW w:type="dxa" w:w="28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Mapa, fotos y contexto del Jardín Merceditas.</w:t>
            </w:r>
          </w:p>
        </w:tc>
        <w:tc>
          <w:tcPr>
            <w:tcW w:type="dxa" w:w="51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“Primero escuchamos y observamos. No diseñamos desde el aula sin conocer el lugar.”</w:t>
            </w:r>
          </w:p>
        </w:tc>
      </w:tr>
      <w:tr>
        <w:tc>
          <w:tcPr>
            <w:tcW w:type="dxa" w:w="1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2. Semáforo</w:t>
            </w:r>
          </w:p>
        </w:tc>
        <w:tc>
          <w:tcPr>
            <w:tcW w:type="dxa" w:w="28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Semáforo en la web o micro:bit. Pedir una palmada.</w:t>
            </w:r>
          </w:p>
        </w:tc>
        <w:tc>
          <w:tcPr>
            <w:tcW w:type="dxa" w:w="51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“La señal visual permite que chicos y adultos detecten el nivel de ruido sin sumar una alarma estridente.”</w:t>
            </w:r>
          </w:p>
        </w:tc>
      </w:tr>
      <w:tr>
        <w:tc>
          <w:tcPr>
            <w:tcW w:type="dxa" w:w="1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3. Código</w:t>
            </w:r>
          </w:p>
        </w:tc>
        <w:tc>
          <w:tcPr>
            <w:tcW w:type="dxa" w:w="28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Código MakeCode y matriz LED.</w:t>
            </w:r>
          </w:p>
        </w:tc>
        <w:tc>
          <w:tcPr>
            <w:tcW w:type="dxa" w:w="51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“El valor 0–255 es el nivel que devuelve micro:bit. No lo presentamos como un decibel calibrado.”</w:t>
            </w:r>
          </w:p>
        </w:tc>
      </w:tr>
      <w:tr>
        <w:tc>
          <w:tcPr>
            <w:tcW w:type="dxa" w:w="1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4. Milo</w:t>
            </w:r>
          </w:p>
        </w:tc>
        <w:tc>
          <w:tcPr>
            <w:tcW w:type="dxa" w:w="28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Cuento impreso y lector digital.</w:t>
            </w:r>
          </w:p>
        </w:tc>
        <w:tc>
          <w:tcPr>
            <w:tcW w:type="dxa" w:w="51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“El cuento traduce una experiencia sensorial a una situación que los chicos pueden conversar.”</w:t>
            </w:r>
          </w:p>
        </w:tc>
      </w:tr>
      <w:tr>
        <w:tc>
          <w:tcPr>
            <w:tcW w:type="dxa" w:w="1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5. 3D</w:t>
            </w:r>
          </w:p>
        </w:tc>
        <w:tc>
          <w:tcPr>
            <w:tcW w:type="dxa" w:w="28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Modelo giratorio de auriculares.</w:t>
            </w:r>
          </w:p>
        </w:tc>
        <w:tc>
          <w:tcPr>
            <w:tcW w:type="dxa" w:w="51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“El modelado es una exploración de una posible ayuda física; no reemplaza evaluación profesional ni protección auditiva certificada.”</w:t>
            </w:r>
          </w:p>
        </w:tc>
      </w:tr>
      <w:tr>
        <w:tc>
          <w:tcPr>
            <w:tcW w:type="dxa" w:w="1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6. River</w:t>
            </w:r>
          </w:p>
        </w:tc>
        <w:tc>
          <w:tcPr>
            <w:tcW w:type="dxa" w:w="28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Fotos del palco sensorial.</w:t>
            </w:r>
          </w:p>
        </w:tc>
        <w:tc>
          <w:tcPr>
            <w:tcW w:type="dxa" w:w="51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“Ver una infraestructura inclusiva real nos mostró que la accesibilidad también se diseña en espacios masivos.”</w:t>
            </w:r>
          </w:p>
        </w:tc>
      </w:tr>
      <w:tr>
        <w:tc>
          <w:tcPr>
            <w:tcW w:type="dxa" w:w="1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7. Cierre</w:t>
            </w:r>
          </w:p>
        </w:tc>
        <w:tc>
          <w:tcPr>
            <w:tcW w:type="dxa" w:w="28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Equipo, fotos y QR.</w:t>
            </w:r>
          </w:p>
        </w:tc>
        <w:tc>
          <w:tcPr>
            <w:tcW w:type="dxa" w:w="51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“Lo valioso no es una pantalla: es que el proyecto deja una conversación, un recurso y próximos pasos.”</w:t>
            </w:r>
          </w:p>
        </w:tc>
      </w:tr>
    </w:tbl>
    <w:p>
      <w:pPr>
        <w:spacing w:after="110"/>
      </w:pPr>
      <w:r>
        <w:br w:type="page"/>
      </w:r>
    </w:p>
    <w:p>
      <w:pPr>
        <w:spacing w:after="35"/>
      </w:pPr>
      <w:r>
        <w:rPr>
          <w:rFonts w:ascii="Aptos" w:cs="Aptos" w:eastAsia="Aptos" w:hAnsi="Aptos"/>
          <w:b/>
          <w:bCs/>
          <w:color w:val="5B9BFF"/>
          <w:spacing w:val="45"/>
          <w:sz w:val="16"/>
          <w:szCs w:val="16"/>
        </w:rPr>
        <w:t xml:space="preserve">PREGUNTAS DIFÍCILES</w:t>
      </w:r>
    </w:p>
    <w:p>
      <w:pPr>
        <w:pStyle w:val="Heading1"/>
        <w:spacing w:after="170" w:before="80"/>
        <w:rPr>
          <w:rFonts w:ascii="Aptos Display" w:cs="Aptos Display" w:eastAsia="Aptos Display" w:hAnsi="Aptos Display"/>
          <w:b/>
          <w:bCs/>
          <w:color w:val="0B1220"/>
          <w:sz w:val="35"/>
          <w:szCs w:val="35"/>
        </w:rPr>
      </w:pPr>
      <w:r>
        <w:t xml:space="preserve">Respuestas que sostienen el proyecto</w:t>
      </w:r>
    </w:p>
    <w:p>
      <w:pPr>
        <w:pStyle w:val="Heading2"/>
        <w:spacing w:after="90" w:before="130"/>
        <w:rPr>
          <w:rFonts w:ascii="Aptos Display" w:cs="Aptos Display" w:eastAsia="Aptos Display" w:hAnsi="Aptos Display"/>
          <w:b/>
          <w:bCs/>
          <w:color w:val="5B9BFF"/>
          <w:sz w:val="25"/>
          <w:szCs w:val="25"/>
        </w:rPr>
      </w:pPr>
      <w:r>
        <w:t xml:space="preserve">¿Por qué eligieron este tema?</w:t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“Porque el ruido está en todos los espacios escolares, pero no afecta a todas las personas de la misma manera. Queríamos investigar cómo construir ambientes más atentos a esa diversidad.”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/>
      </w:r>
    </w:p>
    <w:p>
      <w:pPr>
        <w:pStyle w:val="Heading2"/>
        <w:spacing w:after="90" w:before="130"/>
        <w:rPr>
          <w:rFonts w:ascii="Aptos Display" w:cs="Aptos Display" w:eastAsia="Aptos Display" w:hAnsi="Aptos Display"/>
          <w:b/>
          <w:bCs/>
          <w:color w:val="5B9BFF"/>
          <w:sz w:val="25"/>
          <w:szCs w:val="25"/>
        </w:rPr>
      </w:pPr>
      <w:r>
        <w:t xml:space="preserve">¿El semáforo mide decibeles?</w:t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“La micro:bit devuelve un nivel de sonido de 0 a 255. Ese es el valor que usamos para los umbrales del prototipo. Para hablar de decibeles comparables necesitamos usar un sonómetro y registrar las condiciones de medición.”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/>
      </w:r>
    </w:p>
    <w:p>
      <w:pPr>
        <w:pStyle w:val="Heading2"/>
        <w:spacing w:after="90" w:before="130"/>
        <w:rPr>
          <w:rFonts w:ascii="Aptos Display" w:cs="Aptos Display" w:eastAsia="Aptos Display" w:hAnsi="Aptos Display"/>
          <w:b/>
          <w:bCs/>
          <w:color w:val="5B9BFF"/>
          <w:sz w:val="25"/>
          <w:szCs w:val="25"/>
        </w:rPr>
      </w:pPr>
      <w:r>
        <w:t xml:space="preserve">¿Por qué usan 115, 150 y 175?</w:t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“Son umbrales de funcionamiento del prototipo, definidos para probar respuestas visuales distintas. No los presentamos como límites universales de salud: son parámetros que se pueden ajustar luego de reunir más datos y escuchar a quienes usan el dispositivo.”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/>
      </w:r>
    </w:p>
    <w:p>
      <w:pPr>
        <w:pStyle w:val="Heading2"/>
        <w:spacing w:after="90" w:before="130"/>
        <w:rPr>
          <w:rFonts w:ascii="Aptos Display" w:cs="Aptos Display" w:eastAsia="Aptos Display" w:hAnsi="Aptos Display"/>
          <w:b/>
          <w:bCs/>
          <w:color w:val="5B9BFF"/>
          <w:sz w:val="25"/>
          <w:szCs w:val="25"/>
        </w:rPr>
      </w:pPr>
      <w:r>
        <w:t xml:space="preserve">¿Qué tiene que ver el cuento con la tecnología?</w:t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“La tecnología detecta un momento; el cuento ayuda a comprenderlo y hablarlo. Elegimos trabajar las dos dimensiones porque la inclusión no depende sólo de un dispositivo.”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/>
      </w:r>
    </w:p>
    <w:p>
      <w:pPr>
        <w:pStyle w:val="Heading2"/>
        <w:spacing w:after="90" w:before="130"/>
        <w:rPr>
          <w:rFonts w:ascii="Aptos Display" w:cs="Aptos Display" w:eastAsia="Aptos Display" w:hAnsi="Aptos Display"/>
          <w:b/>
          <w:bCs/>
          <w:color w:val="5B9BFF"/>
          <w:sz w:val="25"/>
          <w:szCs w:val="25"/>
        </w:rPr>
      </w:pPr>
      <w:r>
        <w:t xml:space="preserve">¿Qué sigue?</w:t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“Registrar mediciones con contexto, recoger devoluciones de docentes y chicos, ajustar los umbrales y evaluar qué cambios concretos ayudan a bajar el ruido sin convertir la escuela en un lugar silencioso.”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/>
      </w:r>
    </w:p>
    <w:p>
      <w:pPr>
        <w:spacing w:after="110"/>
      </w:pPr>
      <w:r>
        <w:br w:type="page"/>
      </w:r>
    </w:p>
    <w:p>
      <w:pPr>
        <w:spacing w:after="35"/>
      </w:pPr>
      <w:r>
        <w:rPr>
          <w:rFonts w:ascii="Aptos" w:cs="Aptos" w:eastAsia="Aptos" w:hAnsi="Aptos"/>
          <w:b/>
          <w:bCs/>
          <w:color w:val="5B9BFF"/>
          <w:spacing w:val="45"/>
          <w:sz w:val="16"/>
          <w:szCs w:val="16"/>
        </w:rPr>
        <w:t xml:space="preserve">ORGANIZACIÓN</w:t>
      </w:r>
    </w:p>
    <w:p>
      <w:pPr>
        <w:pStyle w:val="Heading1"/>
        <w:spacing w:after="170" w:before="80"/>
        <w:rPr>
          <w:rFonts w:ascii="Aptos Display" w:cs="Aptos Display" w:eastAsia="Aptos Display" w:hAnsi="Aptos Display"/>
          <w:b/>
          <w:bCs/>
          <w:color w:val="0B1220"/>
          <w:sz w:val="35"/>
          <w:szCs w:val="35"/>
        </w:rPr>
      </w:pPr>
      <w:r>
        <w:t xml:space="preserve">Roles para que el equipo se vea seguro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2760"/>
      </w:tblGrid>
      <w:tr>
        <w:tc>
          <w:tcPr>
            <w:tcW w:type="dxa" w:w="25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shd w:fill="0B1220" w:color="auto" w:val="clear"/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1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shd w:fill="0B1220" w:color="auto" w:val="clear"/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76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shd w:fill="0B1220" w:color="auto" w:val="clear"/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Frase de pase</w:t>
            </w:r>
          </w:p>
        </w:tc>
      </w:tr>
      <w:tr>
        <w:tc>
          <w:tcPr>
            <w:tcW w:type="dxa" w:w="25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Apertura</w:t>
            </w:r>
          </w:p>
        </w:tc>
        <w:tc>
          <w:tcPr>
            <w:tcW w:type="dxa" w:w="41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Presenta el problema, la escuela y el objetivo.</w:t>
            </w:r>
          </w:p>
        </w:tc>
        <w:tc>
          <w:tcPr>
            <w:tcW w:type="dxa" w:w="276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“Para mostrar cómo lo traducimos en una herramienta, le paso a…”</w:t>
            </w:r>
          </w:p>
        </w:tc>
      </w:tr>
      <w:tr>
        <w:tc>
          <w:tcPr>
            <w:tcW w:type="dxa" w:w="25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Tecnología</w:t>
            </w:r>
          </w:p>
        </w:tc>
        <w:tc>
          <w:tcPr>
            <w:tcW w:type="dxa" w:w="41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Activa el semáforo y explica 0–255, micro:bit y límites del prototipo.</w:t>
            </w:r>
          </w:p>
        </w:tc>
        <w:tc>
          <w:tcPr>
            <w:tcW w:type="dxa" w:w="276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“Pero el dispositivo no alcanza solo; por eso también creamos…”</w:t>
            </w:r>
          </w:p>
        </w:tc>
      </w:tr>
      <w:tr>
        <w:tc>
          <w:tcPr>
            <w:tcW w:type="dxa" w:w="25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Cuento e inclusión</w:t>
            </w:r>
          </w:p>
        </w:tc>
        <w:tc>
          <w:tcPr>
            <w:tcW w:type="dxa" w:w="41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Muestra Milo, auriculares 3D y el caso del palco sensorial.</w:t>
            </w:r>
          </w:p>
        </w:tc>
        <w:tc>
          <w:tcPr>
            <w:tcW w:type="dxa" w:w="276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“Todo esto nació de un trabajo situado en…”</w:t>
            </w:r>
          </w:p>
        </w:tc>
      </w:tr>
      <w:tr>
        <w:tc>
          <w:tcPr>
            <w:tcW w:type="dxa" w:w="25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C2940"/>
                <w:sz w:val="21"/>
                <w:szCs w:val="21"/>
              </w:rPr>
              <w:t xml:space="preserve">Evidencia y cierre</w:t>
            </w:r>
          </w:p>
        </w:tc>
        <w:tc>
          <w:tcPr>
            <w:tcW w:type="dxa" w:w="410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Explica observación, próximos pasos, QR y responde preguntas.</w:t>
            </w:r>
          </w:p>
        </w:tc>
        <w:tc>
          <w:tcPr>
            <w:tcW w:type="dxa" w:w="276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“Gracias. Si quieren, pueden probar el semáforo o ver el recorrido completo.”</w:t>
            </w:r>
          </w:p>
        </w:tc>
      </w:tr>
    </w:tbl>
    <w:p>
      <w:pPr>
        <w:pStyle w:val="Heading2"/>
        <w:spacing w:after="90" w:before="130"/>
        <w:rPr>
          <w:rFonts w:ascii="Aptos Display" w:cs="Aptos Display" w:eastAsia="Aptos Display" w:hAnsi="Aptos Display"/>
          <w:b/>
          <w:bCs/>
          <w:color w:val="5B9BFF"/>
          <w:sz w:val="25"/>
          <w:szCs w:val="25"/>
        </w:rPr>
      </w:pPr>
      <w:r>
        <w:t xml:space="preserve">Checklist de dos minutos antes de que llegue el evaluador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910"/>
      </w:tblGrid>
      <w:tr>
        <w:tc>
          <w:tcPr>
            <w:tcW w:type="dxa" w:w="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5B9BFF"/>
                <w:sz w:val="26"/>
                <w:szCs w:val="26"/>
              </w:rPr>
              <w:t xml:space="preserve">□</w:t>
            </w:r>
          </w:p>
        </w:tc>
        <w:tc>
          <w:tcPr>
            <w:tcW w:type="dxa" w:w="89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Página abierta y semáforo en modo demo como respaldo.</w:t>
            </w:r>
          </w:p>
        </w:tc>
      </w:tr>
      <w:tr>
        <w:tc>
          <w:tcPr>
            <w:tcW w:type="dxa" w:w="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5B9BFF"/>
                <w:sz w:val="26"/>
                <w:szCs w:val="26"/>
              </w:rPr>
              <w:t xml:space="preserve">□</w:t>
            </w:r>
          </w:p>
        </w:tc>
        <w:tc>
          <w:tcPr>
            <w:tcW w:type="dxa" w:w="89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Modelo 3D cargado: girar una vez para confirmar que responde.</w:t>
            </w:r>
          </w:p>
        </w:tc>
      </w:tr>
      <w:tr>
        <w:tc>
          <w:tcPr>
            <w:tcW w:type="dxa" w:w="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5B9BFF"/>
                <w:sz w:val="26"/>
                <w:szCs w:val="26"/>
              </w:rPr>
              <w:t xml:space="preserve">□</w:t>
            </w:r>
          </w:p>
        </w:tc>
        <w:tc>
          <w:tcPr>
            <w:tcW w:type="dxa" w:w="89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Cuento impreso visible y QR listo para escanear.</w:t>
            </w:r>
          </w:p>
        </w:tc>
      </w:tr>
      <w:tr>
        <w:tc>
          <w:tcPr>
            <w:tcW w:type="dxa" w:w="45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5B9BFF"/>
                <w:sz w:val="26"/>
                <w:szCs w:val="26"/>
              </w:rPr>
              <w:t xml:space="preserve">□</w:t>
            </w:r>
          </w:p>
        </w:tc>
        <w:tc>
          <w:tcPr>
            <w:tcW w:type="dxa" w:w="8910"/>
            <w:tcBorders>
              <w:top w:val="single" w:color="C9D5E8" w:sz="5"/>
              <w:left w:val="single" w:color="C9D5E8" w:sz="5"/>
              <w:bottom w:val="single" w:color="C9D5E8" w:sz="5"/>
              <w:right w:val="single" w:color="C9D5E8" w:sz="5"/>
            </w:tcBorders>
            <w:tcMar>
              <w:top w:type="dxa" w:w="105"/>
              <w:left w:type="dxa" w:w="120"/>
              <w:bottom w:type="dxa" w:w="105"/>
              <w:right w:type="dxa" w:w="120"/>
            </w:tcMar>
            <w:vAlign w:val="top"/>
          </w:tcPr>
          <w:p>
            <w:pPr>
              <w:spacing w:after="110"/>
            </w:pPr>
            <w:r>
              <w:rPr>
                <w:rFonts w:ascii="Aptos" w:cs="Aptos" w:eastAsia="Aptos" w:hAnsi="Aptos"/>
                <w:color w:val="1C2940"/>
                <w:sz w:val="21"/>
                <w:szCs w:val="21"/>
              </w:rPr>
              <w:t xml:space="preserve">Cada integrante sabe su primera frase y su frase de pase.</w:t>
            </w:r>
          </w:p>
        </w:tc>
      </w:tr>
    </w:tbl>
    <w:p>
      <w:pPr>
        <w:spacing w:after="110"/>
      </w:pPr>
      <w:r>
        <w:br w:type="page"/>
      </w:r>
    </w:p>
    <w:p>
      <w:pPr>
        <w:spacing w:after="35"/>
      </w:pPr>
      <w:r>
        <w:rPr>
          <w:rFonts w:ascii="Aptos" w:cs="Aptos" w:eastAsia="Aptos" w:hAnsi="Aptos"/>
          <w:b/>
          <w:bCs/>
          <w:color w:val="5B9BFF"/>
          <w:spacing w:val="45"/>
          <w:sz w:val="16"/>
          <w:szCs w:val="16"/>
        </w:rPr>
        <w:t xml:space="preserve">CIERRE</w:t>
      </w:r>
    </w:p>
    <w:p>
      <w:pPr>
        <w:pStyle w:val="Heading1"/>
        <w:spacing w:after="170" w:before="80"/>
        <w:rPr>
          <w:rFonts w:ascii="Aptos Display" w:cs="Aptos Display" w:eastAsia="Aptos Display" w:hAnsi="Aptos Display"/>
          <w:b/>
          <w:bCs/>
          <w:color w:val="0B1220"/>
          <w:sz w:val="35"/>
          <w:szCs w:val="35"/>
        </w:rPr>
      </w:pPr>
      <w:r>
        <w:t xml:space="preserve">La idea final</w:t>
      </w:r>
    </w:p>
    <w:p>
      <w:pPr>
        <w:spacing w:after="100"/>
        <w:ind w:left="250"/>
      </w:pPr>
      <w:r>
        <w:rPr>
          <w:rFonts w:ascii="Aptos" w:cs="Aptos" w:eastAsia="Aptos" w:hAnsi="Aptos"/>
          <w:b/>
          <w:bCs/>
          <w:color w:val="0B1220"/>
          <w:sz w:val="21"/>
          <w:szCs w:val="21"/>
        </w:rPr>
        <w:t xml:space="preserve">“No venimos a mostrar una maqueta aislada. Venimos a mostrar un proceso: observamos un problema, diseñamos respuestas distintas, las conectamos y dejamos abierto el camino para seguir aprendiendo con la comunidad.”</w:t>
      </w:r>
      <w:r>
        <w:rPr>
          <w:rFonts w:ascii="Aptos" w:cs="Aptos" w:eastAsia="Aptos" w:hAnsi="Aptos"/>
          <w:color w:val="1C2940"/>
          <w:sz w:val="21"/>
          <w:szCs w:val="21"/>
        </w:rPr>
        <w:t xml:space="preserve"/>
      </w:r>
    </w:p>
    <w:p>
      <w:pPr>
        <w:spacing w:after="120" w:before="230"/>
        <w:jc w:val="center"/>
      </w:pPr>
      <w:r>
        <w:drawing>
          <wp:inline distT="0" distB="0" distL="0" distR="0">
            <wp:extent cx="9906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cs="Aptos" w:eastAsia="Aptos" w:hAnsi="Aptos"/>
          <w:b/>
          <w:bCs/>
          <w:color w:val="0B1220"/>
          <w:sz w:val="20"/>
          <w:szCs w:val="20"/>
        </w:rPr>
        <w:t xml:space="preserve">Sound Blue Project · “Que el ruido deje de ser una barrera.”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6657D"/>
        <w:sz w:val="15"/>
        <w:szCs w:val="15"/>
      </w:rPr>
      <w:t xml:space="preserve">EEM N.° 5 D.E. 15 «Monseñor Enrique Angelelli»  ·  Página </w:t>
    </w:r>
    <w:r>
      <w:rPr>
        <w:color w:val="56657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5E8" w:sz="5" w:space="6"/>
      </w:pBdr>
    </w:pPr>
    <w:r>
      <w:rPr>
        <w:rFonts w:ascii="Aptos" w:cs="Aptos" w:eastAsia="Aptos" w:hAnsi="Aptos"/>
        <w:b/>
        <w:bCs/>
        <w:color w:val="5B9BFF"/>
        <w:sz w:val="16"/>
        <w:szCs w:val="16"/>
      </w:rPr>
      <w:t xml:space="preserve">SOUND BLUE PROJECT</w:t>
    </w:r>
    <w:r>
      <w:rPr>
        <w:rFonts w:ascii="Aptos" w:cs="Aptos" w:eastAsia="Aptos" w:hAnsi="Aptos"/>
        <w:color w:val="56657D"/>
        <w:sz w:val="16"/>
        <w:szCs w:val="16"/>
      </w:rPr>
      <w:t xml:space="preserve">  ·  Guía de defensa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876f57ebecb1392ca1bcd386e126318ba044ea.jpg"/><Relationship Id="rId10" Type="http://schemas.openxmlformats.org/officeDocument/2006/relationships/image" Target="media/e641b12323a1523648a095596c98d99af9f0548f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Guión de defensa · Sound Blue Project</dc:title>
  <dc:creator>Sound Blue Project</dc:creator>
  <dc:description>Guía de presentación para feria y evaluación.</dc:description>
  <cp:lastModifiedBy>Un-named</cp:lastModifiedBy>
  <cp:revision>1</cp:revision>
  <dcterms:created xsi:type="dcterms:W3CDTF">2026-08-24T23:07:01.531Z</dcterms:created>
  <dcterms:modified xsi:type="dcterms:W3CDTF">2026-08-24T23:07:01.532Z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