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7729D" w14:textId="4B83BC15" w:rsidR="00DA406D" w:rsidRDefault="00AA240E" w:rsidP="00E20452">
      <w:pPr>
        <w:spacing w:line="360" w:lineRule="auto"/>
        <w:jc w:val="both"/>
        <w:rPr>
          <w:rFonts w:ascii="Times New Roman" w:hAnsi="Times New Roman" w:cs="Times New Roman"/>
          <w:lang w:val="en-GB"/>
        </w:rPr>
      </w:pPr>
      <w:r w:rsidRPr="00E20452">
        <w:rPr>
          <w:rFonts w:ascii="Times New Roman" w:hAnsi="Times New Roman" w:cs="Times New Roman"/>
          <w:lang w:val="en-GB"/>
        </w:rPr>
        <w:t>Summary of key points</w:t>
      </w:r>
    </w:p>
    <w:p w14:paraId="3551EA2D" w14:textId="3003956C" w:rsidR="009521F9" w:rsidRDefault="009807AC" w:rsidP="00E20452">
      <w:pPr>
        <w:spacing w:line="360" w:lineRule="auto"/>
        <w:jc w:val="both"/>
        <w:rPr>
          <w:rFonts w:ascii="Times New Roman" w:hAnsi="Times New Roman" w:cs="Times New Roman"/>
          <w:lang w:val="en-GB"/>
        </w:rPr>
      </w:pPr>
      <w:r>
        <w:rPr>
          <w:rFonts w:ascii="Times New Roman" w:hAnsi="Times New Roman" w:cs="Times New Roman"/>
          <w:lang w:val="en-GB"/>
        </w:rPr>
        <w:t xml:space="preserve">This paper </w:t>
      </w:r>
      <w:r w:rsidR="00EA79E4">
        <w:rPr>
          <w:rFonts w:ascii="Times New Roman" w:hAnsi="Times New Roman" w:cs="Times New Roman"/>
          <w:lang w:val="en-GB"/>
        </w:rPr>
        <w:t>analysed</w:t>
      </w:r>
      <w:r w:rsidR="00537289">
        <w:rPr>
          <w:rFonts w:ascii="Times New Roman" w:hAnsi="Times New Roman" w:cs="Times New Roman"/>
          <w:lang w:val="en-GB"/>
        </w:rPr>
        <w:t xml:space="preserve"> </w:t>
      </w:r>
    </w:p>
    <w:p w14:paraId="45D240C0" w14:textId="77777777" w:rsidR="009521F9" w:rsidRPr="00E20452" w:rsidRDefault="009521F9" w:rsidP="00E20452">
      <w:pPr>
        <w:spacing w:line="360" w:lineRule="auto"/>
        <w:jc w:val="both"/>
        <w:rPr>
          <w:rFonts w:ascii="Times New Roman" w:hAnsi="Times New Roman" w:cs="Times New Roman"/>
          <w:lang w:val="en-GB"/>
        </w:rPr>
      </w:pPr>
    </w:p>
    <w:p w14:paraId="21BDB85A" w14:textId="4A681A24" w:rsidR="00AA240E" w:rsidRDefault="00AA240E" w:rsidP="00E20452">
      <w:pPr>
        <w:spacing w:line="360" w:lineRule="auto"/>
        <w:jc w:val="both"/>
        <w:rPr>
          <w:rFonts w:ascii="Times New Roman" w:hAnsi="Times New Roman" w:cs="Times New Roman"/>
          <w:lang w:val="en-GB"/>
        </w:rPr>
      </w:pPr>
      <w:r w:rsidRPr="00E20452">
        <w:rPr>
          <w:rFonts w:ascii="Times New Roman" w:hAnsi="Times New Roman" w:cs="Times New Roman"/>
          <w:lang w:val="en-GB"/>
        </w:rPr>
        <w:t>Contributions to field</w:t>
      </w:r>
    </w:p>
    <w:p w14:paraId="0EB86621" w14:textId="63ABA1CB" w:rsidR="000C7D9F" w:rsidRPr="00E20452" w:rsidRDefault="006422E5" w:rsidP="00E20452">
      <w:pPr>
        <w:spacing w:line="360" w:lineRule="auto"/>
        <w:jc w:val="both"/>
        <w:rPr>
          <w:rFonts w:ascii="Times New Roman" w:hAnsi="Times New Roman" w:cs="Times New Roman"/>
          <w:lang w:val="en-GB"/>
        </w:rPr>
      </w:pPr>
      <w:r>
        <w:rPr>
          <w:rFonts w:ascii="Times New Roman" w:hAnsi="Times New Roman" w:cs="Times New Roman"/>
          <w:lang w:val="en-GB"/>
        </w:rPr>
        <w:t xml:space="preserve">In this paper we have </w:t>
      </w:r>
      <w:r w:rsidR="0097252B">
        <w:rPr>
          <w:rFonts w:ascii="Times New Roman" w:hAnsi="Times New Roman" w:cs="Times New Roman"/>
          <w:lang w:val="en-GB"/>
        </w:rPr>
        <w:t>proposed</w:t>
      </w:r>
      <w:r>
        <w:rPr>
          <w:rFonts w:ascii="Times New Roman" w:hAnsi="Times New Roman" w:cs="Times New Roman"/>
          <w:lang w:val="en-GB"/>
        </w:rPr>
        <w:t xml:space="preserve"> several </w:t>
      </w:r>
      <w:r w:rsidR="0097252B">
        <w:rPr>
          <w:rFonts w:ascii="Times New Roman" w:hAnsi="Times New Roman" w:cs="Times New Roman"/>
          <w:lang w:val="en-GB"/>
        </w:rPr>
        <w:t>methodological</w:t>
      </w:r>
      <w:r>
        <w:rPr>
          <w:rFonts w:ascii="Times New Roman" w:hAnsi="Times New Roman" w:cs="Times New Roman"/>
          <w:lang w:val="en-GB"/>
        </w:rPr>
        <w:t xml:space="preserve"> innovations to advance the literature on the effects of PTAs. </w:t>
      </w:r>
      <w:r w:rsidR="006704CB">
        <w:rPr>
          <w:rFonts w:ascii="Times New Roman" w:hAnsi="Times New Roman" w:cs="Times New Roman"/>
          <w:lang w:val="en-GB"/>
        </w:rPr>
        <w:t>We use a modern data set, comprised of data between the years 1995 and 2015</w:t>
      </w:r>
      <w:r w:rsidR="00587359">
        <w:rPr>
          <w:rFonts w:ascii="Times New Roman" w:hAnsi="Times New Roman" w:cs="Times New Roman"/>
          <w:lang w:val="en-GB"/>
        </w:rPr>
        <w:t>, with data on both international and domestic trade</w:t>
      </w:r>
      <w:r w:rsidR="006704CB">
        <w:rPr>
          <w:rFonts w:ascii="Times New Roman" w:hAnsi="Times New Roman" w:cs="Times New Roman"/>
          <w:lang w:val="en-GB"/>
        </w:rPr>
        <w:t xml:space="preserve">. We do not focus our sample on </w:t>
      </w:r>
      <w:r w:rsidR="001916A6">
        <w:rPr>
          <w:rFonts w:ascii="Times New Roman" w:hAnsi="Times New Roman" w:cs="Times New Roman"/>
          <w:lang w:val="en-GB"/>
        </w:rPr>
        <w:t xml:space="preserve">particular regions or groups of countries, </w:t>
      </w:r>
      <w:r w:rsidR="00587359">
        <w:rPr>
          <w:rFonts w:ascii="Times New Roman" w:hAnsi="Times New Roman" w:cs="Times New Roman"/>
          <w:lang w:val="en-GB"/>
        </w:rPr>
        <w:t xml:space="preserve">nor on specific </w:t>
      </w:r>
      <w:r w:rsidR="00587359">
        <w:rPr>
          <w:rFonts w:ascii="Times New Roman" w:hAnsi="Times New Roman" w:cs="Times New Roman"/>
          <w:lang w:val="en-GB"/>
        </w:rPr>
        <w:t>agreements</w:t>
      </w:r>
      <w:r w:rsidR="00587359">
        <w:rPr>
          <w:rFonts w:ascii="Times New Roman" w:hAnsi="Times New Roman" w:cs="Times New Roman"/>
          <w:lang w:val="en-GB"/>
        </w:rPr>
        <w:t xml:space="preserve">. We try to cover as many countries and </w:t>
      </w:r>
      <w:r w:rsidR="0017306D">
        <w:rPr>
          <w:rFonts w:ascii="Times New Roman" w:hAnsi="Times New Roman" w:cs="Times New Roman"/>
          <w:lang w:val="en-GB"/>
        </w:rPr>
        <w:t>PTAs</w:t>
      </w:r>
      <w:r w:rsidR="00587359">
        <w:rPr>
          <w:rFonts w:ascii="Times New Roman" w:hAnsi="Times New Roman" w:cs="Times New Roman"/>
          <w:lang w:val="en-GB"/>
        </w:rPr>
        <w:t xml:space="preserve"> as possible, without over representation of developed or “North” countries</w:t>
      </w:r>
      <w:r w:rsidR="00D578AC">
        <w:rPr>
          <w:rFonts w:ascii="Times New Roman" w:hAnsi="Times New Roman" w:cs="Times New Roman"/>
          <w:lang w:val="en-GB"/>
        </w:rPr>
        <w:t xml:space="preserve"> or </w:t>
      </w:r>
      <w:r w:rsidR="00D578AC">
        <w:rPr>
          <w:rFonts w:ascii="Times New Roman" w:hAnsi="Times New Roman" w:cs="Times New Roman"/>
          <w:lang w:val="en-GB"/>
        </w:rPr>
        <w:t>o</w:t>
      </w:r>
      <w:r w:rsidR="00D578AC">
        <w:rPr>
          <w:rFonts w:ascii="Times New Roman" w:hAnsi="Times New Roman" w:cs="Times New Roman"/>
          <w:lang w:val="en-GB"/>
        </w:rPr>
        <w:t xml:space="preserve">f </w:t>
      </w:r>
      <w:r w:rsidR="00D578AC">
        <w:rPr>
          <w:rFonts w:ascii="Times New Roman" w:hAnsi="Times New Roman" w:cs="Times New Roman"/>
          <w:lang w:val="en-GB"/>
        </w:rPr>
        <w:t>the biggest</w:t>
      </w:r>
      <w:r w:rsidR="00A90EE7">
        <w:rPr>
          <w:rFonts w:ascii="Times New Roman" w:hAnsi="Times New Roman" w:cs="Times New Roman"/>
          <w:lang w:val="en-GB"/>
        </w:rPr>
        <w:t xml:space="preserve"> agreements</w:t>
      </w:r>
      <w:r w:rsidR="00587359">
        <w:rPr>
          <w:rFonts w:ascii="Times New Roman" w:hAnsi="Times New Roman" w:cs="Times New Roman"/>
          <w:lang w:val="en-GB"/>
        </w:rPr>
        <w:t xml:space="preserve">. </w:t>
      </w:r>
      <w:r w:rsidR="00701E80">
        <w:rPr>
          <w:rFonts w:ascii="Times New Roman" w:hAnsi="Times New Roman" w:cs="Times New Roman"/>
          <w:lang w:val="en-GB"/>
        </w:rPr>
        <w:t xml:space="preserve">We extend traditional gravity estimations to </w:t>
      </w:r>
      <w:r w:rsidR="00800A86">
        <w:rPr>
          <w:rFonts w:ascii="Times New Roman" w:hAnsi="Times New Roman" w:cs="Times New Roman"/>
          <w:lang w:val="en-GB"/>
        </w:rPr>
        <w:t>capture heterogenous effects of PTAs instead of the average “total” partial effect as is common in the literature</w:t>
      </w:r>
      <w:r w:rsidR="007D6842">
        <w:rPr>
          <w:rFonts w:ascii="Times New Roman" w:hAnsi="Times New Roman" w:cs="Times New Roman"/>
          <w:lang w:val="en-GB"/>
        </w:rPr>
        <w:t>, as well as heterogenous effects of PTAs on the different categories of bilateral trade relationships (North-North, North-South and South-South)</w:t>
      </w:r>
      <w:r w:rsidR="00800A86">
        <w:rPr>
          <w:rFonts w:ascii="Times New Roman" w:hAnsi="Times New Roman" w:cs="Times New Roman"/>
          <w:lang w:val="en-GB"/>
        </w:rPr>
        <w:t xml:space="preserve">. </w:t>
      </w:r>
      <w:r w:rsidR="007D6842">
        <w:rPr>
          <w:rFonts w:ascii="Times New Roman" w:hAnsi="Times New Roman" w:cs="Times New Roman"/>
          <w:lang w:val="en-GB"/>
        </w:rPr>
        <w:t xml:space="preserve">Finally, </w:t>
      </w:r>
      <w:r w:rsidR="00B2057B">
        <w:rPr>
          <w:rFonts w:ascii="Times New Roman" w:hAnsi="Times New Roman" w:cs="Times New Roman"/>
          <w:lang w:val="en-GB"/>
        </w:rPr>
        <w:t xml:space="preserve">we </w:t>
      </w:r>
      <w:r w:rsidR="007170C1">
        <w:rPr>
          <w:rFonts w:ascii="Times New Roman" w:hAnsi="Times New Roman" w:cs="Times New Roman"/>
          <w:lang w:val="en-GB"/>
        </w:rPr>
        <w:t xml:space="preserve">compliment our main </w:t>
      </w:r>
      <w:r w:rsidR="00943283">
        <w:rPr>
          <w:rFonts w:ascii="Times New Roman" w:hAnsi="Times New Roman" w:cs="Times New Roman"/>
          <w:lang w:val="en-GB"/>
        </w:rPr>
        <w:t>estimations by replacing bilateral trade volume with the export product unit value of</w:t>
      </w:r>
      <w:r w:rsidR="006242AD">
        <w:rPr>
          <w:rFonts w:ascii="Times New Roman" w:hAnsi="Times New Roman" w:cs="Times New Roman"/>
          <w:lang w:val="en-GB"/>
        </w:rPr>
        <w:t xml:space="preserve"> manufacturing </w:t>
      </w:r>
      <w:r w:rsidR="00C2693C">
        <w:rPr>
          <w:rFonts w:ascii="Times New Roman" w:hAnsi="Times New Roman" w:cs="Times New Roman"/>
          <w:lang w:val="en-GB"/>
        </w:rPr>
        <w:t>products</w:t>
      </w:r>
      <w:r w:rsidR="006242AD">
        <w:rPr>
          <w:rFonts w:ascii="Times New Roman" w:hAnsi="Times New Roman" w:cs="Times New Roman"/>
          <w:lang w:val="en-GB"/>
        </w:rPr>
        <w:t xml:space="preserve"> (HS codes 84 and 85)</w:t>
      </w:r>
      <w:r w:rsidR="00C2693C">
        <w:rPr>
          <w:rFonts w:ascii="Times New Roman" w:hAnsi="Times New Roman" w:cs="Times New Roman"/>
          <w:lang w:val="en-GB"/>
        </w:rPr>
        <w:t xml:space="preserve">. </w:t>
      </w:r>
    </w:p>
    <w:p w14:paraId="44D482D1" w14:textId="77777777" w:rsidR="00537289" w:rsidRDefault="00537289" w:rsidP="00E20452">
      <w:pPr>
        <w:spacing w:line="360" w:lineRule="auto"/>
        <w:jc w:val="both"/>
        <w:rPr>
          <w:rFonts w:ascii="Times New Roman" w:hAnsi="Times New Roman" w:cs="Times New Roman"/>
          <w:lang w:val="en-GB"/>
        </w:rPr>
      </w:pPr>
    </w:p>
    <w:p w14:paraId="53015865" w14:textId="14881D30" w:rsidR="00AA240E" w:rsidRDefault="00AA240E" w:rsidP="00E20452">
      <w:pPr>
        <w:spacing w:line="360" w:lineRule="auto"/>
        <w:jc w:val="both"/>
        <w:rPr>
          <w:rFonts w:ascii="Times New Roman" w:hAnsi="Times New Roman" w:cs="Times New Roman"/>
          <w:lang w:val="en-GB"/>
        </w:rPr>
      </w:pPr>
      <w:r w:rsidRPr="00E20452">
        <w:rPr>
          <w:rFonts w:ascii="Times New Roman" w:hAnsi="Times New Roman" w:cs="Times New Roman"/>
          <w:lang w:val="en-GB"/>
        </w:rPr>
        <w:t>Recommendations</w:t>
      </w:r>
    </w:p>
    <w:p w14:paraId="70368C49" w14:textId="4686BD4C" w:rsidR="009521F9" w:rsidRDefault="00545E3B" w:rsidP="00E20452">
      <w:pPr>
        <w:spacing w:line="360" w:lineRule="auto"/>
        <w:jc w:val="both"/>
        <w:rPr>
          <w:rFonts w:ascii="Times New Roman" w:hAnsi="Times New Roman" w:cs="Times New Roman"/>
          <w:lang w:val="en-GB"/>
        </w:rPr>
      </w:pPr>
      <w:r>
        <w:rPr>
          <w:rFonts w:ascii="Times New Roman" w:hAnsi="Times New Roman" w:cs="Times New Roman"/>
          <w:lang w:val="en-GB"/>
        </w:rPr>
        <w:t xml:space="preserve">Based on the findings and analysis covered, </w:t>
      </w:r>
      <w:r w:rsidR="001E64A2">
        <w:rPr>
          <w:rFonts w:ascii="Times New Roman" w:hAnsi="Times New Roman" w:cs="Times New Roman"/>
          <w:lang w:val="en-GB"/>
        </w:rPr>
        <w:t xml:space="preserve">it is not entirely clear if “South” countries as a whole should have a preference towards North-South or South-South trade relations. </w:t>
      </w:r>
    </w:p>
    <w:p w14:paraId="3D840E91" w14:textId="77777777" w:rsidR="002D720A" w:rsidRDefault="002D720A" w:rsidP="00E20452">
      <w:pPr>
        <w:spacing w:line="360" w:lineRule="auto"/>
        <w:jc w:val="both"/>
        <w:rPr>
          <w:rFonts w:ascii="Times New Roman" w:hAnsi="Times New Roman" w:cs="Times New Roman"/>
          <w:lang w:val="en-GB"/>
        </w:rPr>
      </w:pPr>
    </w:p>
    <w:p w14:paraId="540F6DF0" w14:textId="77777777" w:rsidR="009521F9" w:rsidRPr="00E20452" w:rsidRDefault="009521F9" w:rsidP="00E20452">
      <w:pPr>
        <w:spacing w:line="360" w:lineRule="auto"/>
        <w:jc w:val="both"/>
        <w:rPr>
          <w:rFonts w:ascii="Times New Roman" w:hAnsi="Times New Roman" w:cs="Times New Roman"/>
          <w:lang w:val="en-GB"/>
        </w:rPr>
      </w:pPr>
    </w:p>
    <w:p w14:paraId="31215787" w14:textId="42952C70" w:rsidR="00AA240E" w:rsidRDefault="00AA240E" w:rsidP="00E20452">
      <w:pPr>
        <w:spacing w:line="360" w:lineRule="auto"/>
        <w:jc w:val="both"/>
        <w:rPr>
          <w:rFonts w:ascii="Times New Roman" w:hAnsi="Times New Roman" w:cs="Times New Roman"/>
          <w:lang w:val="en-GB"/>
        </w:rPr>
      </w:pPr>
      <w:r w:rsidRPr="00E20452">
        <w:rPr>
          <w:rFonts w:ascii="Times New Roman" w:hAnsi="Times New Roman" w:cs="Times New Roman"/>
          <w:lang w:val="en-GB"/>
        </w:rPr>
        <w:t>Future research directions</w:t>
      </w:r>
    </w:p>
    <w:p w14:paraId="4328092A" w14:textId="54611F93" w:rsidR="00A87D7E" w:rsidRDefault="00792333" w:rsidP="00E20452">
      <w:pPr>
        <w:spacing w:line="360" w:lineRule="auto"/>
        <w:jc w:val="both"/>
        <w:rPr>
          <w:rFonts w:ascii="Times New Roman" w:hAnsi="Times New Roman" w:cs="Times New Roman"/>
          <w:lang w:val="en-GB"/>
        </w:rPr>
      </w:pPr>
      <w:r>
        <w:rPr>
          <w:rFonts w:ascii="Times New Roman" w:hAnsi="Times New Roman" w:cs="Times New Roman"/>
          <w:lang w:val="en-GB"/>
        </w:rPr>
        <w:t>Future research</w:t>
      </w:r>
      <w:r w:rsidR="009807AC">
        <w:rPr>
          <w:rFonts w:ascii="Times New Roman" w:hAnsi="Times New Roman" w:cs="Times New Roman"/>
          <w:lang w:val="en-GB"/>
        </w:rPr>
        <w:t xml:space="preserve"> on the </w:t>
      </w:r>
      <w:r w:rsidR="00537289">
        <w:rPr>
          <w:rFonts w:ascii="Times New Roman" w:hAnsi="Times New Roman" w:cs="Times New Roman"/>
          <w:lang w:val="en-GB"/>
        </w:rPr>
        <w:t>heterogenous effects of PTAs</w:t>
      </w:r>
      <w:r w:rsidR="00375147">
        <w:rPr>
          <w:rFonts w:ascii="Times New Roman" w:hAnsi="Times New Roman" w:cs="Times New Roman"/>
          <w:lang w:val="en-GB"/>
        </w:rPr>
        <w:t xml:space="preserve"> using gravity models</w:t>
      </w:r>
      <w:r w:rsidR="00537289">
        <w:rPr>
          <w:rFonts w:ascii="Times New Roman" w:hAnsi="Times New Roman" w:cs="Times New Roman"/>
          <w:lang w:val="en-GB"/>
        </w:rPr>
        <w:t xml:space="preserve"> is promising. </w:t>
      </w:r>
    </w:p>
    <w:p w14:paraId="18E834FC" w14:textId="7C840C56" w:rsidR="00A520B1" w:rsidRDefault="007970A5" w:rsidP="00E20452">
      <w:pPr>
        <w:spacing w:line="360" w:lineRule="auto"/>
        <w:jc w:val="both"/>
        <w:rPr>
          <w:rFonts w:ascii="Times New Roman" w:hAnsi="Times New Roman" w:cs="Times New Roman"/>
          <w:lang w:val="en-GB"/>
        </w:rPr>
      </w:pPr>
      <w:r>
        <w:rPr>
          <w:rFonts w:ascii="Times New Roman" w:hAnsi="Times New Roman" w:cs="Times New Roman"/>
          <w:lang w:val="en-GB"/>
        </w:rPr>
        <w:t xml:space="preserve">Research on the dynamic effects of PTAs on </w:t>
      </w:r>
      <w:r w:rsidR="00854EE8">
        <w:rPr>
          <w:rFonts w:ascii="Times New Roman" w:hAnsi="Times New Roman" w:cs="Times New Roman"/>
          <w:lang w:val="en-GB"/>
        </w:rPr>
        <w:t xml:space="preserve">the industrialization process and on technology absorption and upgrading. </w:t>
      </w:r>
    </w:p>
    <w:p w14:paraId="0920AFE8" w14:textId="4B0D1807" w:rsidR="005C500A" w:rsidRDefault="005C500A" w:rsidP="00E20452">
      <w:pPr>
        <w:spacing w:line="360" w:lineRule="auto"/>
        <w:jc w:val="both"/>
        <w:rPr>
          <w:rFonts w:ascii="Times New Roman" w:hAnsi="Times New Roman" w:cs="Times New Roman"/>
          <w:lang w:val="en-GB"/>
        </w:rPr>
      </w:pPr>
      <w:r>
        <w:rPr>
          <w:rFonts w:ascii="Times New Roman" w:hAnsi="Times New Roman" w:cs="Times New Roman"/>
          <w:lang w:val="en-GB"/>
        </w:rPr>
        <w:t>Extend</w:t>
      </w:r>
      <w:r w:rsidR="00472964">
        <w:rPr>
          <w:rFonts w:ascii="Times New Roman" w:hAnsi="Times New Roman" w:cs="Times New Roman"/>
          <w:lang w:val="en-GB"/>
        </w:rPr>
        <w:t>ing</w:t>
      </w:r>
      <w:r>
        <w:rPr>
          <w:rFonts w:ascii="Times New Roman" w:hAnsi="Times New Roman" w:cs="Times New Roman"/>
          <w:lang w:val="en-GB"/>
        </w:rPr>
        <w:t xml:space="preserve"> </w:t>
      </w:r>
      <w:r w:rsidR="00375147">
        <w:rPr>
          <w:rFonts w:ascii="Times New Roman" w:hAnsi="Times New Roman" w:cs="Times New Roman"/>
          <w:lang w:val="en-GB"/>
        </w:rPr>
        <w:t xml:space="preserve">models </w:t>
      </w:r>
      <w:r w:rsidR="000C29A3">
        <w:rPr>
          <w:rFonts w:ascii="Times New Roman" w:hAnsi="Times New Roman" w:cs="Times New Roman"/>
          <w:lang w:val="en-GB"/>
        </w:rPr>
        <w:t>to capture effects of country-pairs member to a PTA, and to capture effects on individual countries of a country-pair member to a PTA.</w:t>
      </w:r>
      <w:r w:rsidR="0070324C">
        <w:rPr>
          <w:rFonts w:ascii="Times New Roman" w:hAnsi="Times New Roman" w:cs="Times New Roman"/>
          <w:lang w:val="en-GB"/>
        </w:rPr>
        <w:t xml:space="preserve"> </w:t>
      </w:r>
      <w:r w:rsidR="0070324C">
        <w:rPr>
          <w:rFonts w:ascii="Times New Roman" w:hAnsi="Times New Roman" w:cs="Times New Roman"/>
          <w:lang w:val="en-GB"/>
        </w:rPr>
        <w:fldChar w:fldCharType="begin"/>
      </w:r>
      <w:r w:rsidR="0070324C">
        <w:rPr>
          <w:rFonts w:ascii="Times New Roman" w:hAnsi="Times New Roman" w:cs="Times New Roman"/>
          <w:lang w:val="en-GB"/>
        </w:rPr>
        <w:instrText xml:space="preserve"> ADDIN ZOTERO_ITEM CSL_CITATION {"citationID":"ZtUJHS8S","properties":{"formattedCitation":"(Baier et al., 2019)","plainCitation":"(Baier et al., 2019)","noteIndex":0},"citationItems":[{"id":255,"uris":["http://zotero.org/users/13839746/items/V876EF3T"],"itemData":{"id":255,"type":"article-journal","abstract":"We develop a novel two stage methodology that allows us to study the empirical determinants of the ex post effects of past free trade agreements (FTAs) as well as obtain ex ante predictions for the effects of future FTAs. We first identify 908 unique estimates of the effects of FTAs on different trading pairs for the years 1986–2006. We then employ these estimates as our dependent variable in a “second stage” analysis characterizing the heterogeneity in these effects. Interestingly, most of this heterogeneity (</w:instrText>
      </w:r>
      <w:r w:rsidR="0070324C">
        <w:rPr>
          <w:rFonts w:ascii="Cambria Math" w:hAnsi="Cambria Math" w:cs="Cambria Math"/>
          <w:lang w:val="en-GB"/>
        </w:rPr>
        <w:instrText>∼</w:instrText>
      </w:r>
      <w:r w:rsidR="0070324C">
        <w:rPr>
          <w:rFonts w:ascii="Times New Roman" w:hAnsi="Times New Roman" w:cs="Times New Roman"/>
          <w:lang w:val="en-GB"/>
        </w:rPr>
        <w:instrText xml:space="preserve">2/3) occurs within FTAs (rather than across different FTAs), with asymmetric effects within pairs (on exports vs. imports) also playing an important role. Our second stage analysis provides several intuitive explanations behind these variations. Even within the same agreement, FTA effects are weaker for more distant pairs and for pairs with otherwise high levels of ex ante trade frictions. The effects of new FTAs are similarly weaker for pairs with existing agreements already in place. In addition, we are able to relate asymmetries in FTA effects to each country's ability to influence the other's terms of trade. Out-of-sample predictions incorporating these insights enable us to predict direction-specific effects of future FTAs between any pair of countries. A simulation of the general equilibrium effects of TTIP demonstrates the significance of our methods.","container-title":"Journal of International Economics","DOI":"10.1016/j.jinteco.2018.11.002","ISSN":"0022-1996","journalAbbreviation":"Journal of International Economics","page":"206-226","source":"ScienceDirect","title":"On the widely differing effects of free trade agreements: Lessons from twenty years of trade integration","title-short":"On the widely differing effects of free trade agreements","volume":"116","author":[{"family":"Baier","given":"Scott L."},{"family":"Yotov","given":"Yoto V."},{"family":"Zylkin","given":"Thomas"}],"issued":{"date-parts":[["2019",1,1]]}}}],"schema":"https://github.com/citation-style-language/schema/raw/master/csl-citation.json"} </w:instrText>
      </w:r>
      <w:r w:rsidR="0070324C">
        <w:rPr>
          <w:rFonts w:ascii="Times New Roman" w:hAnsi="Times New Roman" w:cs="Times New Roman"/>
          <w:lang w:val="en-GB"/>
        </w:rPr>
        <w:fldChar w:fldCharType="separate"/>
      </w:r>
      <w:r w:rsidR="0070324C">
        <w:rPr>
          <w:rFonts w:ascii="Times New Roman" w:hAnsi="Times New Roman" w:cs="Times New Roman"/>
          <w:noProof/>
          <w:lang w:val="en-GB"/>
        </w:rPr>
        <w:t>(Baier et al., 2019)</w:t>
      </w:r>
      <w:r w:rsidR="0070324C">
        <w:rPr>
          <w:rFonts w:ascii="Times New Roman" w:hAnsi="Times New Roman" w:cs="Times New Roman"/>
          <w:lang w:val="en-GB"/>
        </w:rPr>
        <w:fldChar w:fldCharType="end"/>
      </w:r>
    </w:p>
    <w:p w14:paraId="7F7EAD0F" w14:textId="2BC512A3" w:rsidR="00DF6042" w:rsidRDefault="00DF6042" w:rsidP="00E20452">
      <w:pPr>
        <w:spacing w:line="360" w:lineRule="auto"/>
        <w:jc w:val="both"/>
        <w:rPr>
          <w:rFonts w:ascii="Times New Roman" w:hAnsi="Times New Roman" w:cs="Times New Roman"/>
          <w:lang w:val="en-GB"/>
        </w:rPr>
      </w:pPr>
      <w:r>
        <w:rPr>
          <w:rFonts w:ascii="Times New Roman" w:hAnsi="Times New Roman" w:cs="Times New Roman"/>
          <w:lang w:val="en-GB"/>
        </w:rPr>
        <w:t xml:space="preserve">Extending models to </w:t>
      </w:r>
      <w:r w:rsidR="00724C08">
        <w:rPr>
          <w:rFonts w:ascii="Times New Roman" w:hAnsi="Times New Roman" w:cs="Times New Roman"/>
          <w:lang w:val="en-GB"/>
        </w:rPr>
        <w:t xml:space="preserve">capture effects of different types of PTAs depending on their depth and content. </w:t>
      </w:r>
    </w:p>
    <w:p w14:paraId="6A2B5528" w14:textId="33F099E6" w:rsidR="00FB1B03" w:rsidRDefault="00FB5517" w:rsidP="00E20452">
      <w:pPr>
        <w:spacing w:line="360" w:lineRule="auto"/>
        <w:jc w:val="both"/>
        <w:rPr>
          <w:rFonts w:ascii="Times New Roman" w:hAnsi="Times New Roman" w:cs="Times New Roman"/>
          <w:lang w:val="en-GB"/>
        </w:rPr>
      </w:pPr>
      <w:r>
        <w:rPr>
          <w:rFonts w:ascii="Times New Roman" w:hAnsi="Times New Roman" w:cs="Times New Roman"/>
          <w:lang w:val="en-GB"/>
        </w:rPr>
        <w:t xml:space="preserve">Different sub-classifications of “South” countries should be explored to </w:t>
      </w:r>
      <w:r w:rsidR="008953B3">
        <w:rPr>
          <w:rFonts w:ascii="Times New Roman" w:hAnsi="Times New Roman" w:cs="Times New Roman"/>
          <w:lang w:val="en-GB"/>
        </w:rPr>
        <w:t xml:space="preserve">further </w:t>
      </w:r>
      <w:r>
        <w:rPr>
          <w:rFonts w:ascii="Times New Roman" w:hAnsi="Times New Roman" w:cs="Times New Roman"/>
          <w:lang w:val="en-GB"/>
        </w:rPr>
        <w:t>understand</w:t>
      </w:r>
      <w:r w:rsidR="008953B3">
        <w:rPr>
          <w:rFonts w:ascii="Times New Roman" w:hAnsi="Times New Roman" w:cs="Times New Roman"/>
          <w:lang w:val="en-GB"/>
        </w:rPr>
        <w:t xml:space="preserve"> the limits to </w:t>
      </w:r>
      <w:r w:rsidR="00A2343E">
        <w:rPr>
          <w:rFonts w:ascii="Times New Roman" w:hAnsi="Times New Roman" w:cs="Times New Roman"/>
          <w:lang w:val="en-GB"/>
        </w:rPr>
        <w:t xml:space="preserve">South-South cooperation in trade. </w:t>
      </w:r>
    </w:p>
    <w:p w14:paraId="3581835C" w14:textId="0CAAE928" w:rsidR="003305BD" w:rsidRDefault="00733600" w:rsidP="00E20452">
      <w:pPr>
        <w:spacing w:line="360" w:lineRule="auto"/>
        <w:jc w:val="both"/>
        <w:rPr>
          <w:rFonts w:ascii="Times New Roman" w:hAnsi="Times New Roman" w:cs="Times New Roman"/>
          <w:lang w:val="en-GB"/>
        </w:rPr>
      </w:pPr>
      <w:r>
        <w:rPr>
          <w:rFonts w:ascii="Times New Roman" w:hAnsi="Times New Roman" w:cs="Times New Roman"/>
          <w:lang w:val="en-GB"/>
        </w:rPr>
        <w:lastRenderedPageBreak/>
        <w:t>Beyond trade volume, t</w:t>
      </w:r>
      <w:r w:rsidR="003305BD">
        <w:rPr>
          <w:rFonts w:ascii="Times New Roman" w:hAnsi="Times New Roman" w:cs="Times New Roman"/>
          <w:lang w:val="en-GB"/>
        </w:rPr>
        <w:t xml:space="preserve">he measure of </w:t>
      </w:r>
      <w:r w:rsidR="003305BD">
        <w:rPr>
          <w:rFonts w:ascii="Times New Roman" w:hAnsi="Times New Roman" w:cs="Times New Roman"/>
          <w:lang w:val="en-GB"/>
        </w:rPr>
        <w:t>export product unit value</w:t>
      </w:r>
      <w:r w:rsidR="003305BD">
        <w:rPr>
          <w:rFonts w:ascii="Times New Roman" w:hAnsi="Times New Roman" w:cs="Times New Roman"/>
          <w:lang w:val="en-GB"/>
        </w:rPr>
        <w:t xml:space="preserve"> can be used to capture the increase or decrease of the value per unit commodities and goods</w:t>
      </w:r>
      <w:r w:rsidR="00EA6638">
        <w:rPr>
          <w:rFonts w:ascii="Times New Roman" w:hAnsi="Times New Roman" w:cs="Times New Roman"/>
          <w:lang w:val="en-GB"/>
        </w:rPr>
        <w:t xml:space="preserve"> in </w:t>
      </w:r>
      <w:r w:rsidR="00EA6638">
        <w:rPr>
          <w:rFonts w:ascii="Times New Roman" w:hAnsi="Times New Roman" w:cs="Times New Roman"/>
          <w:lang w:val="en-GB"/>
        </w:rPr>
        <w:t>specific</w:t>
      </w:r>
      <w:r w:rsidR="00EA6638">
        <w:rPr>
          <w:rFonts w:ascii="Times New Roman" w:hAnsi="Times New Roman" w:cs="Times New Roman"/>
          <w:lang w:val="en-GB"/>
        </w:rPr>
        <w:t xml:space="preserve"> industries. </w:t>
      </w:r>
    </w:p>
    <w:p w14:paraId="7BE46FE5" w14:textId="77777777" w:rsidR="005C500A" w:rsidRDefault="005C500A" w:rsidP="00E20452">
      <w:pPr>
        <w:spacing w:line="360" w:lineRule="auto"/>
        <w:jc w:val="both"/>
        <w:rPr>
          <w:rFonts w:ascii="Times New Roman" w:hAnsi="Times New Roman" w:cs="Times New Roman"/>
          <w:lang w:val="en-GB"/>
        </w:rPr>
      </w:pPr>
    </w:p>
    <w:p w14:paraId="663D2072" w14:textId="77777777" w:rsidR="005C500A" w:rsidRDefault="005C500A" w:rsidP="00E20452">
      <w:pPr>
        <w:spacing w:line="360" w:lineRule="auto"/>
        <w:jc w:val="both"/>
        <w:rPr>
          <w:rFonts w:ascii="Times New Roman" w:hAnsi="Times New Roman" w:cs="Times New Roman"/>
          <w:lang w:val="en-GB"/>
        </w:rPr>
      </w:pPr>
    </w:p>
    <w:p w14:paraId="4038B613" w14:textId="77AF98E0" w:rsidR="005C500A" w:rsidRDefault="005C500A" w:rsidP="00E20452">
      <w:pPr>
        <w:spacing w:line="360" w:lineRule="auto"/>
        <w:jc w:val="both"/>
        <w:rPr>
          <w:rFonts w:ascii="Times New Roman" w:hAnsi="Times New Roman" w:cs="Times New Roman"/>
          <w:lang w:val="en-GB"/>
        </w:rPr>
      </w:pPr>
      <w:r>
        <w:rPr>
          <w:rFonts w:ascii="Times New Roman" w:hAnsi="Times New Roman" w:cs="Times New Roman"/>
          <w:lang w:val="en-GB"/>
        </w:rPr>
        <w:t>References</w:t>
      </w:r>
    </w:p>
    <w:p w14:paraId="58D6C1AA" w14:textId="77777777" w:rsidR="00C357DA" w:rsidRPr="00C357DA" w:rsidRDefault="00C357DA" w:rsidP="00C357DA">
      <w:pPr>
        <w:pStyle w:val="Bibliography"/>
        <w:rPr>
          <w:rFonts w:ascii="Times New Roman" w:hAnsi="Times New Roman" w:cs="Times New Roman"/>
          <w:lang w:val="en-US"/>
        </w:rPr>
      </w:pPr>
      <w:r>
        <w:rPr>
          <w:lang w:val="en-GB"/>
        </w:rPr>
        <w:fldChar w:fldCharType="begin"/>
      </w:r>
      <w:r>
        <w:rPr>
          <w:lang w:val="en-GB"/>
        </w:rPr>
        <w:instrText xml:space="preserve"> ADDIN ZOTERO_BIBL {"uncited":[],"omitted":[],"custom":[]} CSL_BIBLIOGRAPHY </w:instrText>
      </w:r>
      <w:r>
        <w:rPr>
          <w:lang w:val="en-GB"/>
        </w:rPr>
        <w:fldChar w:fldCharType="separate"/>
      </w:r>
      <w:r w:rsidRPr="00C357DA">
        <w:rPr>
          <w:rFonts w:ascii="Times New Roman" w:hAnsi="Times New Roman" w:cs="Times New Roman"/>
          <w:lang w:val="en-US"/>
        </w:rPr>
        <w:t xml:space="preserve">Baier, S. L., Yotov, Y. V., &amp; Zylkin, T. (2019). On the widely differing effects of free trade agreements: Lessons from twenty years of trade integration. </w:t>
      </w:r>
      <w:r w:rsidRPr="00C357DA">
        <w:rPr>
          <w:rFonts w:ascii="Times New Roman" w:hAnsi="Times New Roman" w:cs="Times New Roman"/>
          <w:i/>
          <w:iCs/>
          <w:lang w:val="en-US"/>
        </w:rPr>
        <w:t>Journal of International Economics</w:t>
      </w:r>
      <w:r w:rsidRPr="00C357DA">
        <w:rPr>
          <w:rFonts w:ascii="Times New Roman" w:hAnsi="Times New Roman" w:cs="Times New Roman"/>
          <w:lang w:val="en-US"/>
        </w:rPr>
        <w:t xml:space="preserve">, </w:t>
      </w:r>
      <w:r w:rsidRPr="00C357DA">
        <w:rPr>
          <w:rFonts w:ascii="Times New Roman" w:hAnsi="Times New Roman" w:cs="Times New Roman"/>
          <w:i/>
          <w:iCs/>
          <w:lang w:val="en-US"/>
        </w:rPr>
        <w:t>116</w:t>
      </w:r>
      <w:r w:rsidRPr="00C357DA">
        <w:rPr>
          <w:rFonts w:ascii="Times New Roman" w:hAnsi="Times New Roman" w:cs="Times New Roman"/>
          <w:lang w:val="en-US"/>
        </w:rPr>
        <w:t>, 206–226. https://doi.org/10.1016/j.jinteco.2018.11.002</w:t>
      </w:r>
    </w:p>
    <w:p w14:paraId="030E9468" w14:textId="75EC5EB2" w:rsidR="00C357DA" w:rsidRPr="00E20452" w:rsidRDefault="00C357DA" w:rsidP="00E20452">
      <w:pPr>
        <w:spacing w:line="360" w:lineRule="auto"/>
        <w:jc w:val="both"/>
        <w:rPr>
          <w:rFonts w:ascii="Times New Roman" w:hAnsi="Times New Roman" w:cs="Times New Roman"/>
          <w:lang w:val="en-GB"/>
        </w:rPr>
      </w:pPr>
      <w:r>
        <w:rPr>
          <w:rFonts w:ascii="Times New Roman" w:hAnsi="Times New Roman" w:cs="Times New Roman"/>
          <w:lang w:val="en-GB"/>
        </w:rPr>
        <w:fldChar w:fldCharType="end"/>
      </w:r>
    </w:p>
    <w:sectPr w:rsidR="00C357DA" w:rsidRPr="00E204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5626F"/>
    <w:rsid w:val="0007378E"/>
    <w:rsid w:val="000C29A3"/>
    <w:rsid w:val="000C7D9F"/>
    <w:rsid w:val="000D67CA"/>
    <w:rsid w:val="0017306D"/>
    <w:rsid w:val="001916A6"/>
    <w:rsid w:val="001B6C79"/>
    <w:rsid w:val="001E64A2"/>
    <w:rsid w:val="002112C8"/>
    <w:rsid w:val="00293A6F"/>
    <w:rsid w:val="002D720A"/>
    <w:rsid w:val="003305BD"/>
    <w:rsid w:val="00375147"/>
    <w:rsid w:val="003C5626"/>
    <w:rsid w:val="00472964"/>
    <w:rsid w:val="004A0B07"/>
    <w:rsid w:val="00537289"/>
    <w:rsid w:val="00545E3B"/>
    <w:rsid w:val="00587359"/>
    <w:rsid w:val="005C500A"/>
    <w:rsid w:val="006242AD"/>
    <w:rsid w:val="006422E5"/>
    <w:rsid w:val="006544E4"/>
    <w:rsid w:val="006704CB"/>
    <w:rsid w:val="00701E80"/>
    <w:rsid w:val="0070324C"/>
    <w:rsid w:val="007170C1"/>
    <w:rsid w:val="00724C08"/>
    <w:rsid w:val="0072636F"/>
    <w:rsid w:val="00733600"/>
    <w:rsid w:val="007378D4"/>
    <w:rsid w:val="00792333"/>
    <w:rsid w:val="007970A5"/>
    <w:rsid w:val="007D6842"/>
    <w:rsid w:val="00800A86"/>
    <w:rsid w:val="00854EE8"/>
    <w:rsid w:val="008953B3"/>
    <w:rsid w:val="009418A2"/>
    <w:rsid w:val="00943283"/>
    <w:rsid w:val="009521F9"/>
    <w:rsid w:val="0097252B"/>
    <w:rsid w:val="009807AC"/>
    <w:rsid w:val="00A11879"/>
    <w:rsid w:val="00A2343E"/>
    <w:rsid w:val="00A520B1"/>
    <w:rsid w:val="00A87D7E"/>
    <w:rsid w:val="00A90EE7"/>
    <w:rsid w:val="00AA240E"/>
    <w:rsid w:val="00AF1DC5"/>
    <w:rsid w:val="00B2057B"/>
    <w:rsid w:val="00BD2B7C"/>
    <w:rsid w:val="00C11BAE"/>
    <w:rsid w:val="00C2693C"/>
    <w:rsid w:val="00C357DA"/>
    <w:rsid w:val="00C70732"/>
    <w:rsid w:val="00D578AC"/>
    <w:rsid w:val="00DA406D"/>
    <w:rsid w:val="00DF6042"/>
    <w:rsid w:val="00E02488"/>
    <w:rsid w:val="00E20452"/>
    <w:rsid w:val="00E938B6"/>
    <w:rsid w:val="00EA6638"/>
    <w:rsid w:val="00EA79E4"/>
    <w:rsid w:val="00F72BBE"/>
    <w:rsid w:val="00FB1B03"/>
    <w:rsid w:val="00FB5517"/>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C357DA"/>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62</cp:revision>
  <dcterms:created xsi:type="dcterms:W3CDTF">2024-08-07T13:20:00Z</dcterms:created>
  <dcterms:modified xsi:type="dcterms:W3CDTF">2024-08-15T20:17:00Z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id="ErticUsL"/&gt;&lt;style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