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5CBC0" w14:textId="11357F1F" w:rsidR="00050C33" w:rsidRPr="00490DD6" w:rsidRDefault="00962C90" w:rsidP="004B068B">
      <w:pPr>
        <w:spacing w:line="360" w:lineRule="auto"/>
        <w:jc w:val="both"/>
        <w:rPr>
          <w:rFonts w:ascii="Times New Roman" w:hAnsi="Times New Roman" w:cs="Times New Roman"/>
          <w:lang w:val="en-GB"/>
        </w:rPr>
      </w:pPr>
      <w:r w:rsidRPr="00490DD6">
        <w:rPr>
          <w:rFonts w:ascii="Times New Roman" w:hAnsi="Times New Roman" w:cs="Times New Roman"/>
          <w:lang w:val="en-GB"/>
        </w:rPr>
        <w:t xml:space="preserve">The </w:t>
      </w:r>
      <w:r w:rsidR="00DC0033" w:rsidRPr="00490DD6">
        <w:rPr>
          <w:rFonts w:ascii="Times New Roman" w:hAnsi="Times New Roman" w:cs="Times New Roman"/>
          <w:lang w:val="en-GB"/>
        </w:rPr>
        <w:t>preference of a type of partner in a</w:t>
      </w:r>
      <w:r w:rsidRPr="00490DD6">
        <w:rPr>
          <w:rFonts w:ascii="Times New Roman" w:hAnsi="Times New Roman" w:cs="Times New Roman"/>
          <w:lang w:val="en-GB"/>
        </w:rPr>
        <w:t xml:space="preserve"> </w:t>
      </w:r>
      <w:r w:rsidR="00333A36" w:rsidRPr="00490DD6">
        <w:rPr>
          <w:rFonts w:ascii="Times New Roman" w:hAnsi="Times New Roman" w:cs="Times New Roman"/>
          <w:lang w:val="en-GB"/>
        </w:rPr>
        <w:t>TA</w:t>
      </w:r>
      <w:r w:rsidRPr="00490DD6">
        <w:rPr>
          <w:rFonts w:ascii="Times New Roman" w:hAnsi="Times New Roman" w:cs="Times New Roman"/>
          <w:lang w:val="en-GB"/>
        </w:rPr>
        <w:t xml:space="preserve">s then becomes an empirical question. Do South-South </w:t>
      </w:r>
      <w:r w:rsidR="00333A36" w:rsidRPr="00490DD6">
        <w:rPr>
          <w:rFonts w:ascii="Times New Roman" w:hAnsi="Times New Roman" w:cs="Times New Roman"/>
          <w:lang w:val="en-GB"/>
        </w:rPr>
        <w:t>TA</w:t>
      </w:r>
      <w:r w:rsidRPr="00490DD6">
        <w:rPr>
          <w:rFonts w:ascii="Times New Roman" w:hAnsi="Times New Roman" w:cs="Times New Roman"/>
          <w:lang w:val="en-GB"/>
        </w:rPr>
        <w:t xml:space="preserve">s promote trade and industrial </w:t>
      </w:r>
      <w:r w:rsidR="00932C65" w:rsidRPr="00490DD6">
        <w:rPr>
          <w:rFonts w:ascii="Times New Roman" w:hAnsi="Times New Roman" w:cs="Times New Roman"/>
          <w:lang w:val="en-GB"/>
        </w:rPr>
        <w:t xml:space="preserve">development </w:t>
      </w:r>
      <w:r w:rsidRPr="00490DD6">
        <w:rPr>
          <w:rFonts w:ascii="Times New Roman" w:hAnsi="Times New Roman" w:cs="Times New Roman"/>
          <w:lang w:val="en-GB"/>
        </w:rPr>
        <w:t>among their members?</w:t>
      </w:r>
      <w:r w:rsidR="00140B1A" w:rsidRPr="00490DD6">
        <w:rPr>
          <w:rFonts w:ascii="Times New Roman" w:hAnsi="Times New Roman" w:cs="Times New Roman"/>
          <w:lang w:val="en-GB"/>
        </w:rPr>
        <w:t xml:space="preserve"> The empirical </w:t>
      </w:r>
      <w:r w:rsidR="00834FF4" w:rsidRPr="00490DD6">
        <w:rPr>
          <w:rFonts w:ascii="Times New Roman" w:hAnsi="Times New Roman" w:cs="Times New Roman"/>
          <w:lang w:val="en-GB"/>
        </w:rPr>
        <w:t>literature</w:t>
      </w:r>
      <w:r w:rsidR="00140B1A" w:rsidRPr="00490DD6">
        <w:rPr>
          <w:rFonts w:ascii="Times New Roman" w:hAnsi="Times New Roman" w:cs="Times New Roman"/>
          <w:lang w:val="en-GB"/>
        </w:rPr>
        <w:t xml:space="preserve"> </w:t>
      </w:r>
      <w:r w:rsidR="00624634" w:rsidRPr="00490DD6">
        <w:rPr>
          <w:rFonts w:ascii="Times New Roman" w:hAnsi="Times New Roman" w:cs="Times New Roman"/>
          <w:lang w:val="en-GB"/>
        </w:rPr>
        <w:t xml:space="preserve">overall </w:t>
      </w:r>
      <w:r w:rsidR="00834FF4" w:rsidRPr="00490DD6">
        <w:rPr>
          <w:rFonts w:ascii="Times New Roman" w:hAnsi="Times New Roman" w:cs="Times New Roman"/>
          <w:lang w:val="en-GB"/>
        </w:rPr>
        <w:t xml:space="preserve">reports positive effects of </w:t>
      </w:r>
      <w:r w:rsidR="00333A36" w:rsidRPr="00490DD6">
        <w:rPr>
          <w:rFonts w:ascii="Times New Roman" w:hAnsi="Times New Roman" w:cs="Times New Roman"/>
          <w:lang w:val="en-GB"/>
        </w:rPr>
        <w:t>TA</w:t>
      </w:r>
      <w:r w:rsidR="00834FF4" w:rsidRPr="00490DD6">
        <w:rPr>
          <w:rFonts w:ascii="Times New Roman" w:hAnsi="Times New Roman" w:cs="Times New Roman"/>
          <w:lang w:val="en-GB"/>
        </w:rPr>
        <w:t>s on the trade of member countries</w:t>
      </w:r>
      <w:r w:rsidR="00764AFB" w:rsidRPr="00490DD6">
        <w:rPr>
          <w:rFonts w:ascii="Times New Roman" w:hAnsi="Times New Roman" w:cs="Times New Roman"/>
          <w:lang w:val="en-GB"/>
        </w:rPr>
        <w:t>, but with considerable heterogeneity</w:t>
      </w:r>
      <w:r w:rsidR="00D36471" w:rsidRPr="00490DD6">
        <w:rPr>
          <w:rFonts w:ascii="Times New Roman" w:hAnsi="Times New Roman" w:cs="Times New Roman"/>
          <w:lang w:val="en-GB"/>
        </w:rPr>
        <w:t xml:space="preserve"> on the estimation coefficients. </w:t>
      </w:r>
      <w:r w:rsidR="006202A2" w:rsidRPr="00490DD6">
        <w:rPr>
          <w:rFonts w:ascii="Times New Roman" w:hAnsi="Times New Roman" w:cs="Times New Roman"/>
          <w:lang w:val="en-GB"/>
        </w:rPr>
        <w:t xml:space="preserve">For example, </w:t>
      </w:r>
      <w:r w:rsidR="00BC059E" w:rsidRPr="00490DD6">
        <w:rPr>
          <w:rFonts w:ascii="Times New Roman" w:hAnsi="Times New Roman" w:cs="Times New Roman"/>
          <w:lang w:val="en-GB"/>
        </w:rPr>
        <w:t>a</w:t>
      </w:r>
      <w:r w:rsidR="0076585A" w:rsidRPr="00490DD6">
        <w:rPr>
          <w:rFonts w:ascii="Times New Roman" w:hAnsi="Times New Roman" w:cs="Times New Roman"/>
          <w:lang w:val="en-GB"/>
        </w:rPr>
        <w:t xml:space="preserve"> meta-analysis of research papers on the effects of </w:t>
      </w:r>
      <w:r w:rsidR="00333A36" w:rsidRPr="00490DD6">
        <w:rPr>
          <w:rFonts w:ascii="Times New Roman" w:hAnsi="Times New Roman" w:cs="Times New Roman"/>
          <w:lang w:val="en-GB"/>
        </w:rPr>
        <w:t>TA</w:t>
      </w:r>
      <w:r w:rsidR="0076585A" w:rsidRPr="00490DD6">
        <w:rPr>
          <w:rFonts w:ascii="Times New Roman" w:hAnsi="Times New Roman" w:cs="Times New Roman"/>
          <w:lang w:val="en-GB"/>
        </w:rPr>
        <w:t xml:space="preserve">s on member trade, encompassing 85 papers and 1827 estimates, </w:t>
      </w:r>
      <w:r w:rsidR="00142BFC" w:rsidRPr="00490DD6">
        <w:rPr>
          <w:rFonts w:ascii="Times New Roman" w:hAnsi="Times New Roman" w:cs="Times New Roman"/>
          <w:lang w:val="en-GB"/>
        </w:rPr>
        <w:t>finds an average of 0.59 (</w:t>
      </w:r>
      <w:r w:rsidR="005F0066" w:rsidRPr="00490DD6">
        <w:rPr>
          <w:rFonts w:ascii="Times New Roman" w:hAnsi="Times New Roman" w:cs="Times New Roman"/>
          <w:lang w:val="en-GB"/>
        </w:rPr>
        <w:t xml:space="preserve">an </w:t>
      </w:r>
      <w:r w:rsidR="00142BFC" w:rsidRPr="00490DD6">
        <w:rPr>
          <w:rFonts w:ascii="Times New Roman" w:hAnsi="Times New Roman" w:cs="Times New Roman"/>
          <w:lang w:val="en-GB"/>
        </w:rPr>
        <w:t>80% increase in trade)</w:t>
      </w:r>
      <w:r w:rsidR="005F0066" w:rsidRPr="00490DD6">
        <w:rPr>
          <w:rFonts w:ascii="Times New Roman" w:hAnsi="Times New Roman" w:cs="Times New Roman"/>
          <w:lang w:val="en-GB"/>
        </w:rPr>
        <w:t>, with a median of 0.38 (a 46% increase in trade), a wide range of coefficient estimates (-9.01 to 15.41), and only 312 out of 1827 estimates reported as negative</w:t>
      </w:r>
      <w:r w:rsidR="00834FF4" w:rsidRPr="00490DD6">
        <w:rPr>
          <w:rFonts w:ascii="Times New Roman" w:hAnsi="Times New Roman" w:cs="Times New Roman"/>
          <w:lang w:val="en-GB"/>
        </w:rPr>
        <w:t xml:space="preserve"> </w:t>
      </w:r>
      <w:r w:rsidR="0076585A" w:rsidRPr="00490DD6">
        <w:rPr>
          <w:rFonts w:ascii="Times New Roman" w:hAnsi="Times New Roman" w:cs="Times New Roman"/>
          <w:lang w:val="en-GB"/>
        </w:rPr>
        <w:fldChar w:fldCharType="begin"/>
      </w:r>
      <w:r w:rsidR="0076585A" w:rsidRPr="00490DD6">
        <w:rPr>
          <w:rFonts w:ascii="Times New Roman" w:hAnsi="Times New Roman" w:cs="Times New Roman"/>
          <w:lang w:val="en-GB"/>
        </w:rPr>
        <w:instrText xml:space="preserve"> ADDIN ZOTERO_ITEM CSL_CITATION {"citationID":"8i4nVMLu","properties":{"formattedCitation":"(Cipollina and Salvatici, 2010)","plainCitation":"(Cipollina and Salvatici, 2010)","noteIndex":0},"citationItems":[{"id":296,"uris":["http://zotero.org/users/13839746/items/6EWDABJR"],"itemData":{"id":296,"type":"article-journal","abstract":"The gravity model is a workhorse tool applicable in a wide range of empirical fields. It is regularly used to estimate the impact of reciprocal trade agreements (RTAs) on trade flows between partners. The studies report very different estimates since there is a significant difference in datasets, sample sizes, and independent variables. This paper combines, explains, and summarizes a large number of results using a meta-analysis approach. We provide pooled estimates, obtained from fixed and random effects models of the RTAs’ effect size on bilateral trade: the hypothesis that there is no effect of RTAs on trade is robustly rejected at standard significance levels. The information collected on each estimate allows us to test the sensitivity of the results to alternative specifications and differences in the control variables considered, as well as the impact of the publication selection process.","container-title":"Review of International Economics","DOI":"10.1111/j.1467-9396.2009.00877.x","ISSN":"1467-9396","issue":"1","language":"en","license":"© 2010 Blackwell Publishing Ltd","note":"_eprint: https://onlinelibrary.wiley.com/doi/pdf/10.1111/j.1467-9396.2009.00877.x","page":"63-80","source":"Wiley Online Library","title":"Reciprocal Trade Agreements in Gravity Models: A Meta-Analysis","title-short":"Reciprocal Trade Agreements in Gravity Models","volume":"18","author":[{"family":"Cipollina","given":"Maria"},{"family":"Salvatici","given":"Luca"}],"issued":{"date-parts":[["2010"]]}}}],"schema":"https://github.com/citation-style-language/schema/raw/master/csl-citation.json"} </w:instrText>
      </w:r>
      <w:r w:rsidR="0076585A" w:rsidRPr="00490DD6">
        <w:rPr>
          <w:rFonts w:ascii="Times New Roman" w:hAnsi="Times New Roman" w:cs="Times New Roman"/>
          <w:lang w:val="en-GB"/>
        </w:rPr>
        <w:fldChar w:fldCharType="separate"/>
      </w:r>
      <w:r w:rsidR="0076585A" w:rsidRPr="00490DD6">
        <w:rPr>
          <w:rFonts w:ascii="Times New Roman" w:hAnsi="Times New Roman" w:cs="Times New Roman"/>
          <w:noProof/>
          <w:lang w:val="en-GB"/>
        </w:rPr>
        <w:t>(Cipollina and Salvatici, 2010)</w:t>
      </w:r>
      <w:r w:rsidR="0076585A" w:rsidRPr="00490DD6">
        <w:rPr>
          <w:rFonts w:ascii="Times New Roman" w:hAnsi="Times New Roman" w:cs="Times New Roman"/>
          <w:lang w:val="en-GB"/>
        </w:rPr>
        <w:fldChar w:fldCharType="end"/>
      </w:r>
      <w:r w:rsidR="00B2131A" w:rsidRPr="00490DD6">
        <w:rPr>
          <w:rFonts w:ascii="Times New Roman" w:hAnsi="Times New Roman" w:cs="Times New Roman"/>
          <w:lang w:val="en-GB"/>
        </w:rPr>
        <w:t>.</w:t>
      </w:r>
      <w:r w:rsidR="00680145" w:rsidRPr="00490DD6">
        <w:rPr>
          <w:rFonts w:ascii="Times New Roman" w:hAnsi="Times New Roman" w:cs="Times New Roman"/>
          <w:lang w:val="en-GB"/>
        </w:rPr>
        <w:t xml:space="preserve"> </w:t>
      </w:r>
      <w:r w:rsidR="00BC059E" w:rsidRPr="00490DD6">
        <w:rPr>
          <w:rFonts w:ascii="Times New Roman" w:hAnsi="Times New Roman" w:cs="Times New Roman"/>
          <w:lang w:val="en-GB"/>
        </w:rPr>
        <w:t>Furthermore</w:t>
      </w:r>
      <w:r w:rsidR="00680145" w:rsidRPr="00490DD6">
        <w:rPr>
          <w:rFonts w:ascii="Times New Roman" w:hAnsi="Times New Roman" w:cs="Times New Roman"/>
          <w:lang w:val="en-GB"/>
        </w:rPr>
        <w:t xml:space="preserve">, </w:t>
      </w:r>
      <w:r w:rsidR="00F452F9" w:rsidRPr="00490DD6">
        <w:rPr>
          <w:rFonts w:ascii="Times New Roman" w:hAnsi="Times New Roman" w:cs="Times New Roman"/>
          <w:lang w:val="en-GB"/>
        </w:rPr>
        <w:t xml:space="preserve">a survey of the empirical research on the effect of economic integration agreements on international trade flows, as well as using the most modern econometric techniques to address biases, found an increase of 50% on international trade, but with significant variation in the effects of specific agreements </w:t>
      </w:r>
      <w:r w:rsidR="00F452F9" w:rsidRPr="00490DD6">
        <w:rPr>
          <w:rFonts w:ascii="Times New Roman" w:hAnsi="Times New Roman" w:cs="Times New Roman"/>
          <w:lang w:val="en-GB"/>
        </w:rPr>
        <w:fldChar w:fldCharType="begin"/>
      </w:r>
      <w:r w:rsidR="00F452F9" w:rsidRPr="00490DD6">
        <w:rPr>
          <w:rFonts w:ascii="Times New Roman" w:hAnsi="Times New Roman" w:cs="Times New Roman"/>
          <w:lang w:val="en-GB"/>
        </w:rPr>
        <w:instrText xml:space="preserve"> ADDIN ZOTERO_ITEM CSL_CITATION {"citationID":"oTG4KBIL","properties":{"formattedCitation":"(Kohl, 2014)","plainCitation":"(Kohl, 2014)","noteIndex":0},"citationItems":[{"id":299,"uris":["http://zotero.org/users/13839746/items/2AZC7QLM"],"itemData":{"id":299,"type":"article-journal","abstract":"This study surveys the empirical literature in which the gravity equation has been used to study the effect of economic integration agreements (EIAs) on international trade flows. We show that most studies either focus on improving the methodology to assess regionalism's overall impact, or on a small set of well-known agreements without necessarily adopting new methodological improvements. We bridge this gap by providing individual estimates for EIAs on world trade, while employing first-differencing techniques to correct for endogeneity bias and account for phase-in effects. Overall, EIAs promote trade by at most 50 %. Surprisingly, more than half of the EIAs investigated have had no discernible impact on trade at all, while only about one quarter of the agreements are trade promoting. Characteristics of these agreements, such as their institutional quality, design, and their members' involvement in the World Trade Organisation, shed more light on how this variation can be understood.","container-title":"Review of World Economics / Weltwirtschaftliches Archiv","ISSN":"1610-2878","issue":"3","note":"publisher: Springer","page":"443-469","source":"JSTOR","title":"Do we really know that trade agreements increase trade?","volume":"150","author":[{"family":"Kohl","given":"Tristan"}],"issued":{"date-parts":[["2014"]]}}}],"schema":"https://github.com/citation-style-language/schema/raw/master/csl-citation.json"} </w:instrText>
      </w:r>
      <w:r w:rsidR="00F452F9" w:rsidRPr="00490DD6">
        <w:rPr>
          <w:rFonts w:ascii="Times New Roman" w:hAnsi="Times New Roman" w:cs="Times New Roman"/>
          <w:lang w:val="en-GB"/>
        </w:rPr>
        <w:fldChar w:fldCharType="separate"/>
      </w:r>
      <w:r w:rsidR="00F452F9" w:rsidRPr="00490DD6">
        <w:rPr>
          <w:rFonts w:ascii="Times New Roman" w:hAnsi="Times New Roman" w:cs="Times New Roman"/>
          <w:noProof/>
          <w:lang w:val="en-GB"/>
        </w:rPr>
        <w:t>(Kohl, 2014)</w:t>
      </w:r>
      <w:r w:rsidR="00F452F9" w:rsidRPr="00490DD6">
        <w:rPr>
          <w:rFonts w:ascii="Times New Roman" w:hAnsi="Times New Roman" w:cs="Times New Roman"/>
          <w:lang w:val="en-GB"/>
        </w:rPr>
        <w:fldChar w:fldCharType="end"/>
      </w:r>
      <w:r w:rsidR="00F452F9" w:rsidRPr="00490DD6">
        <w:rPr>
          <w:rFonts w:ascii="Times New Roman" w:hAnsi="Times New Roman" w:cs="Times New Roman"/>
          <w:lang w:val="en-GB"/>
        </w:rPr>
        <w:t>.</w:t>
      </w:r>
      <w:r w:rsidR="00954C54" w:rsidRPr="00490DD6">
        <w:rPr>
          <w:rFonts w:ascii="Times New Roman" w:hAnsi="Times New Roman" w:cs="Times New Roman"/>
          <w:lang w:val="en-GB"/>
        </w:rPr>
        <w:t xml:space="preserve"> </w:t>
      </w:r>
      <w:r w:rsidR="00032C62" w:rsidRPr="00490DD6">
        <w:rPr>
          <w:rFonts w:ascii="Times New Roman" w:hAnsi="Times New Roman" w:cs="Times New Roman"/>
          <w:lang w:val="en-GB"/>
        </w:rPr>
        <w:t xml:space="preserve">However, much of </w:t>
      </w:r>
      <w:r w:rsidR="00954C54" w:rsidRPr="00490DD6">
        <w:rPr>
          <w:rFonts w:ascii="Times New Roman" w:hAnsi="Times New Roman" w:cs="Times New Roman"/>
          <w:lang w:val="en-GB"/>
        </w:rPr>
        <w:t xml:space="preserve">the empirical </w:t>
      </w:r>
      <w:r w:rsidR="00032C62" w:rsidRPr="00490DD6">
        <w:rPr>
          <w:rFonts w:ascii="Times New Roman" w:hAnsi="Times New Roman" w:cs="Times New Roman"/>
          <w:lang w:val="en-GB"/>
        </w:rPr>
        <w:t xml:space="preserve">research </w:t>
      </w:r>
      <w:r w:rsidR="008C72AD" w:rsidRPr="00490DD6">
        <w:rPr>
          <w:rFonts w:ascii="Times New Roman" w:hAnsi="Times New Roman" w:cs="Times New Roman"/>
          <w:lang w:val="en-GB"/>
        </w:rPr>
        <w:t>is focused on</w:t>
      </w:r>
      <w:r w:rsidR="004D5C73" w:rsidRPr="00490DD6">
        <w:rPr>
          <w:rFonts w:ascii="Times New Roman" w:hAnsi="Times New Roman" w:cs="Times New Roman"/>
          <w:lang w:val="en-GB"/>
        </w:rPr>
        <w:t xml:space="preserve"> the effects of </w:t>
      </w:r>
      <w:r w:rsidR="00333A36" w:rsidRPr="00490DD6">
        <w:rPr>
          <w:rFonts w:ascii="Times New Roman" w:hAnsi="Times New Roman" w:cs="Times New Roman"/>
          <w:lang w:val="en-GB"/>
        </w:rPr>
        <w:t>TA</w:t>
      </w:r>
      <w:r w:rsidR="004D5C73" w:rsidRPr="00490DD6">
        <w:rPr>
          <w:rFonts w:ascii="Times New Roman" w:hAnsi="Times New Roman" w:cs="Times New Roman"/>
          <w:lang w:val="en-GB"/>
        </w:rPr>
        <w:t xml:space="preserve">s </w:t>
      </w:r>
      <w:r w:rsidR="009E643E" w:rsidRPr="00490DD6">
        <w:rPr>
          <w:rFonts w:ascii="Times New Roman" w:hAnsi="Times New Roman" w:cs="Times New Roman"/>
          <w:lang w:val="en-GB"/>
        </w:rPr>
        <w:t>on or including</w:t>
      </w:r>
      <w:r w:rsidR="004D5C73" w:rsidRPr="00490DD6">
        <w:rPr>
          <w:rFonts w:ascii="Times New Roman" w:hAnsi="Times New Roman" w:cs="Times New Roman"/>
          <w:lang w:val="en-GB"/>
        </w:rPr>
        <w:t xml:space="preserve"> the most advanced economies. </w:t>
      </w:r>
      <w:r w:rsidR="00413A2B" w:rsidRPr="00490DD6">
        <w:rPr>
          <w:rFonts w:ascii="Times New Roman" w:hAnsi="Times New Roman" w:cs="Times New Roman"/>
          <w:lang w:val="en-GB"/>
        </w:rPr>
        <w:t xml:space="preserve">Empirical research </w:t>
      </w:r>
      <w:r w:rsidR="009E643E" w:rsidRPr="00490DD6">
        <w:rPr>
          <w:rFonts w:ascii="Times New Roman" w:hAnsi="Times New Roman" w:cs="Times New Roman"/>
          <w:lang w:val="en-GB"/>
        </w:rPr>
        <w:t>focused</w:t>
      </w:r>
      <w:r w:rsidR="00B20CB3" w:rsidRPr="00490DD6">
        <w:rPr>
          <w:rFonts w:ascii="Times New Roman" w:hAnsi="Times New Roman" w:cs="Times New Roman"/>
          <w:lang w:val="en-GB"/>
        </w:rPr>
        <w:t xml:space="preserve"> exclusively</w:t>
      </w:r>
      <w:r w:rsidR="00413A2B" w:rsidRPr="00490DD6">
        <w:rPr>
          <w:rFonts w:ascii="Times New Roman" w:hAnsi="Times New Roman" w:cs="Times New Roman"/>
          <w:lang w:val="en-GB"/>
        </w:rPr>
        <w:t xml:space="preserve"> on </w:t>
      </w:r>
      <w:r w:rsidR="009133A8" w:rsidRPr="00490DD6">
        <w:rPr>
          <w:rFonts w:ascii="Times New Roman" w:hAnsi="Times New Roman" w:cs="Times New Roman"/>
          <w:lang w:val="en-GB"/>
        </w:rPr>
        <w:t xml:space="preserve">the effects of </w:t>
      </w:r>
      <w:r w:rsidR="00413A2B" w:rsidRPr="00490DD6">
        <w:rPr>
          <w:rFonts w:ascii="Times New Roman" w:hAnsi="Times New Roman" w:cs="Times New Roman"/>
          <w:lang w:val="en-GB"/>
        </w:rPr>
        <w:t xml:space="preserve">South-South </w:t>
      </w:r>
      <w:r w:rsidR="00333A36" w:rsidRPr="00490DD6">
        <w:rPr>
          <w:rFonts w:ascii="Times New Roman" w:hAnsi="Times New Roman" w:cs="Times New Roman"/>
          <w:lang w:val="en-GB"/>
        </w:rPr>
        <w:t>TA</w:t>
      </w:r>
      <w:r w:rsidR="005C5FF6" w:rsidRPr="00490DD6">
        <w:rPr>
          <w:rFonts w:ascii="Times New Roman" w:hAnsi="Times New Roman" w:cs="Times New Roman"/>
          <w:lang w:val="en-GB"/>
        </w:rPr>
        <w:t>s or</w:t>
      </w:r>
      <w:r w:rsidR="009133A8" w:rsidRPr="00490DD6">
        <w:rPr>
          <w:rFonts w:ascii="Times New Roman" w:hAnsi="Times New Roman" w:cs="Times New Roman"/>
          <w:lang w:val="en-GB"/>
        </w:rPr>
        <w:t xml:space="preserve"> comparing them to the effects of North-North or North-South </w:t>
      </w:r>
      <w:r w:rsidR="00333A36" w:rsidRPr="00490DD6">
        <w:rPr>
          <w:rFonts w:ascii="Times New Roman" w:hAnsi="Times New Roman" w:cs="Times New Roman"/>
          <w:lang w:val="en-GB"/>
        </w:rPr>
        <w:t>TA</w:t>
      </w:r>
      <w:r w:rsidR="009133A8" w:rsidRPr="00490DD6">
        <w:rPr>
          <w:rFonts w:ascii="Times New Roman" w:hAnsi="Times New Roman" w:cs="Times New Roman"/>
          <w:lang w:val="en-GB"/>
        </w:rPr>
        <w:t>s,</w:t>
      </w:r>
      <w:r w:rsidR="00413A2B" w:rsidRPr="00490DD6">
        <w:rPr>
          <w:rFonts w:ascii="Times New Roman" w:hAnsi="Times New Roman" w:cs="Times New Roman"/>
          <w:lang w:val="en-GB"/>
        </w:rPr>
        <w:t xml:space="preserve"> is much less </w:t>
      </w:r>
      <w:r w:rsidR="00EA7D92" w:rsidRPr="00490DD6">
        <w:rPr>
          <w:rFonts w:ascii="Times New Roman" w:hAnsi="Times New Roman" w:cs="Times New Roman"/>
          <w:lang w:val="en-GB"/>
        </w:rPr>
        <w:t>prevalent in the literature.</w:t>
      </w:r>
      <w:r w:rsidR="007C7989" w:rsidRPr="00490DD6">
        <w:rPr>
          <w:rFonts w:ascii="Times New Roman" w:hAnsi="Times New Roman" w:cs="Times New Roman"/>
          <w:lang w:val="en-GB"/>
        </w:rPr>
        <w:t xml:space="preserve"> </w:t>
      </w:r>
      <w:r w:rsidR="004C525F">
        <w:rPr>
          <w:rFonts w:ascii="Times New Roman" w:hAnsi="Times New Roman" w:cs="Times New Roman"/>
          <w:lang w:val="en-GB"/>
        </w:rPr>
        <w:t>Although</w:t>
      </w:r>
      <w:r w:rsidR="003172A2" w:rsidRPr="00490DD6">
        <w:rPr>
          <w:rFonts w:ascii="Times New Roman" w:hAnsi="Times New Roman" w:cs="Times New Roman"/>
          <w:lang w:val="en-GB"/>
        </w:rPr>
        <w:t xml:space="preserve">, several research papers do control for the type of agreement </w:t>
      </w:r>
      <w:r w:rsidR="002644DF" w:rsidRPr="00490DD6">
        <w:rPr>
          <w:rFonts w:ascii="Times New Roman" w:hAnsi="Times New Roman" w:cs="Times New Roman"/>
          <w:lang w:val="en-GB"/>
        </w:rPr>
        <w:t xml:space="preserve">(North-South or South-South) </w:t>
      </w:r>
      <w:r w:rsidR="003172A2" w:rsidRPr="00490DD6">
        <w:rPr>
          <w:rFonts w:ascii="Times New Roman" w:hAnsi="Times New Roman" w:cs="Times New Roman"/>
          <w:lang w:val="en-GB"/>
        </w:rPr>
        <w:t xml:space="preserve">and have found positive and significant effects of South-South </w:t>
      </w:r>
      <w:r w:rsidR="00333A36" w:rsidRPr="00490DD6">
        <w:rPr>
          <w:rFonts w:ascii="Times New Roman" w:hAnsi="Times New Roman" w:cs="Times New Roman"/>
          <w:lang w:val="en-GB"/>
        </w:rPr>
        <w:t>TA</w:t>
      </w:r>
      <w:r w:rsidR="003172A2" w:rsidRPr="00490DD6">
        <w:rPr>
          <w:rFonts w:ascii="Times New Roman" w:hAnsi="Times New Roman" w:cs="Times New Roman"/>
          <w:lang w:val="en-GB"/>
        </w:rPr>
        <w:t xml:space="preserve">s </w:t>
      </w:r>
      <w:r w:rsidR="003172A2" w:rsidRPr="00490DD6">
        <w:rPr>
          <w:rFonts w:ascii="Times New Roman" w:hAnsi="Times New Roman" w:cs="Times New Roman"/>
          <w:lang w:val="en-GB"/>
        </w:rPr>
        <w:fldChar w:fldCharType="begin"/>
      </w:r>
      <w:r w:rsidR="002F194B" w:rsidRPr="00490DD6">
        <w:rPr>
          <w:rFonts w:ascii="Times New Roman" w:hAnsi="Times New Roman" w:cs="Times New Roman"/>
          <w:lang w:val="en-GB"/>
        </w:rPr>
        <w:instrText xml:space="preserve"> ADDIN ZOTERO_ITEM CSL_CITATION {"citationID":"AHbYk20O","properties":{"formattedCitation":"(Medvedev, 2006; Mayda and Steinberg, 2007; Dahi and Demir, 2013; Deme and Ndrianasy, 2017)","plainCitation":"(Medvedev, 2006; Mayda and Steinberg, 2007; Dahi and Demir, 2013; Deme and Ndrianasy, 2017)","noteIndex":0},"citationItems":[{"id":304,"uris":["http://zotero.org/users/13839746/items/VFBUM24P"],"itemData":{"id":304,"type":"article","abstract":"The author investigates the effects of preferential trade agreements (PTAs) on bilateral trade flows using a comprehensive database of PTAs in force and a detailed matrix of world trade. He shows that total trade between PTA partners is a poor proxy for preferential trade (trade in tariff lines where preferences are likely to matter): while the former amounted to one-third of global trade in 2000-02, the latter was between one-sixth and one-tenth of world trade. His gravity model estimates indicate that using total rather than preferential trade to assess the impact of PTAs leads to a significant downward bias in the PTA coefficient. The author finds that product exclusions and long phase-in periods significantly limit preferential trade, and their removal could more than double trade in tariff lines above 3 percent of most-favored-nation (MFN) duties. He also shows that the effects of PTAs on trade vary by type of agreement and are increasing in the incomes of PTA partners.","event-place":"Rochester, NY","genre":"SSRN Scholarly Paper","language":"en","number":"938031","publisher-place":"Rochester, NY","source":"Social Science Research Network","title":"Preferential Trade Agreements and Their Role in World Trade","URL":"https://papers.ssrn.com/abstract=938031","author":[{"family":"Medvedev","given":"Denis"}],"accessed":{"date-parts":[["2024",8,13]]},"issued":{"date-parts":[["2006",10,1]]}}},{"id":306,"uris":["http://zotero.org/users/13839746/items/3VNTI8NU"],"itemData":{"id":306,"type":"article","abstract":"South-South trade agreements are proliferating: Developing countries signed 70 new agreements between 1990 and 2003. Yet the impact of these agreements is largely unknown. This paper focuses on the static effects of South-South preferential trade agreements stemming from changes in trade patterns. Specifically, it estimates the impact of the Common Market for Eastern and Southern Africa (COMESA) on Uganda's imports between 1994 and 2003. Detailed import and tariff data at the 6-digit harmonized system level are used for more than 1,000 commodities. Based on a difference-in-difference estimation strategy, the paper finds that - in contrast to evidence from aggregate statistics - COMESA's preferential tariff liberalization has not considerably increased Uganda's trade with member countries, on average across sectors. The effect, however, is heterogeneous across sectors. Finally, the paper finds no evidence of trade-diversion effects.","event-place":"Rochester, NY","genre":"SSRN Scholarly Paper","language":"en","number":"967881","publisher-place":"Rochester, NY","source":"Social Science Research Network","title":"Do South-South Trade Agreements Increase Trade? Commodity-Level Evidence from COMESA","title-short":"Do South-South Trade Agreements Increase Trade?","URL":"https://papers.ssrn.com/abstract=967881","author":[{"family":"Mayda","given":"Anna Maria"},{"family":"Steinberg","given":"Chad"}],"accessed":{"date-parts":[["2024",8,13]]},"issued":{"date-parts":[["2007",2,1]]}}},{"id":185,"uris":["http://zotero.org/users/13839746/items/8GAIK5FP"],"itemData":{"id":185,"type":"article-journal","abstract":"This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S."},{"family":"Demir","given":"Firat"}],"issued":{"date-parts":[["2013",12]]}}},{"id":187,"uris":["http://zotero.org/users/13839746/items/RIF4YZXN"],"itemData":{"id":187,"type":"article-journal","abstract":"Although the number of regional trade arrangements (RTAs) among the lowest-income developing countries is surging, the literature on their welfare effects is still scarce, and the few that exist fail to provide conclusive results. Furthermore, these RTAs are dominated by countries with a small share of total exports destined for intraregional trade flows. Our study focuses on the welfare effects of RTAs (pertaining to trade creation and trade diversion) among this group of countries. We use a theoretically justified gravity model to estimate welfare effects, focusing on trade creation and trade diversion and deviating from the norm in related studies, accounting for heterogeneity in third countries. Using ECOWAS as a sample, we estimate welfare effects on 1992–2012 annual bilateral imports for 14 countries from 169 countries. Contrary to conventional expectations in the literature, we find that economic integration among small and relatively low-income countries that have a small share of total trade with each other is welfare-improving for the members as a group, for the majority of the individual member countries, and for some third countries. Accounting for heterogeneity in third countries reveals that an RTA among low-income countries has a particularly robust trade-creation effect.","container-title":"Applied Economics","DOI":"10.1080/00036846.2016.1234700","ISSN":"00036846","issue":"22","note":"publisher: Routledge","page":"2188-2202","source":"EBSCOhost","title":"Trade-creation and trade-diversion effects of regional trade arrangements: low-income countries","title-short":"Trade-creation and trade-diversion effects of regional trade arrangements","volume":"49","author":[{"family":"Deme","given":"Mamit"},{"family":"Ndrianasy","given":"Estrella R."}],"issued":{"date-parts":[["2017",5,9]]}}}],"schema":"https://github.com/citation-style-language/schema/raw/master/csl-citation.json"} </w:instrText>
      </w:r>
      <w:r w:rsidR="003172A2" w:rsidRPr="00490DD6">
        <w:rPr>
          <w:rFonts w:ascii="Times New Roman" w:hAnsi="Times New Roman" w:cs="Times New Roman"/>
          <w:lang w:val="en-GB"/>
        </w:rPr>
        <w:fldChar w:fldCharType="separate"/>
      </w:r>
      <w:r w:rsidR="002F194B" w:rsidRPr="00490DD6">
        <w:rPr>
          <w:rFonts w:ascii="Times New Roman" w:hAnsi="Times New Roman" w:cs="Times New Roman"/>
          <w:noProof/>
          <w:lang w:val="en-GB"/>
        </w:rPr>
        <w:t>(Medvedev, 2006; Mayda and Steinberg, 2007; Dahi and Demir, 2013; Deme and Ndrianasy, 2017)</w:t>
      </w:r>
      <w:r w:rsidR="003172A2" w:rsidRPr="00490DD6">
        <w:rPr>
          <w:rFonts w:ascii="Times New Roman" w:hAnsi="Times New Roman" w:cs="Times New Roman"/>
          <w:lang w:val="en-GB"/>
        </w:rPr>
        <w:fldChar w:fldCharType="end"/>
      </w:r>
      <w:r w:rsidR="00F655CE" w:rsidRPr="00490DD6">
        <w:rPr>
          <w:rFonts w:ascii="Times New Roman" w:hAnsi="Times New Roman" w:cs="Times New Roman"/>
          <w:lang w:val="en-GB"/>
        </w:rPr>
        <w:t>, th</w:t>
      </w:r>
      <w:r w:rsidR="00A10991" w:rsidRPr="00490DD6">
        <w:rPr>
          <w:rFonts w:ascii="Times New Roman" w:hAnsi="Times New Roman" w:cs="Times New Roman"/>
          <w:lang w:val="en-GB"/>
        </w:rPr>
        <w:t>ese articles</w:t>
      </w:r>
      <w:r w:rsidR="00F655CE" w:rsidRPr="00490DD6">
        <w:rPr>
          <w:rFonts w:ascii="Times New Roman" w:hAnsi="Times New Roman" w:cs="Times New Roman"/>
          <w:lang w:val="en-GB"/>
        </w:rPr>
        <w:t xml:space="preserve"> tend to</w:t>
      </w:r>
      <w:r w:rsidR="00A10991" w:rsidRPr="00490DD6">
        <w:rPr>
          <w:rFonts w:ascii="Times New Roman" w:hAnsi="Times New Roman" w:cs="Times New Roman"/>
          <w:lang w:val="en-GB"/>
        </w:rPr>
        <w:t xml:space="preserve"> be limited in their </w:t>
      </w:r>
      <w:r w:rsidR="002C1E76" w:rsidRPr="00490DD6">
        <w:rPr>
          <w:rFonts w:ascii="Times New Roman" w:hAnsi="Times New Roman" w:cs="Times New Roman"/>
          <w:lang w:val="en-GB"/>
        </w:rPr>
        <w:t xml:space="preserve">scope, </w:t>
      </w:r>
      <w:r w:rsidR="00A10991" w:rsidRPr="00490DD6">
        <w:rPr>
          <w:rFonts w:ascii="Times New Roman" w:hAnsi="Times New Roman" w:cs="Times New Roman"/>
          <w:lang w:val="en-GB"/>
        </w:rPr>
        <w:t>sample size</w:t>
      </w:r>
      <w:r w:rsidR="002C1E76" w:rsidRPr="00490DD6">
        <w:rPr>
          <w:rFonts w:ascii="Times New Roman" w:hAnsi="Times New Roman" w:cs="Times New Roman"/>
          <w:lang w:val="en-GB"/>
        </w:rPr>
        <w:t xml:space="preserve"> or only focus on trade volumes</w:t>
      </w:r>
      <w:r w:rsidR="005943C8" w:rsidRPr="00490DD6">
        <w:rPr>
          <w:rFonts w:ascii="Times New Roman" w:hAnsi="Times New Roman" w:cs="Times New Roman"/>
          <w:lang w:val="en-GB"/>
        </w:rPr>
        <w:t>.</w:t>
      </w:r>
      <w:r w:rsidR="00F655CE" w:rsidRPr="00490DD6">
        <w:rPr>
          <w:rFonts w:ascii="Times New Roman" w:hAnsi="Times New Roman" w:cs="Times New Roman"/>
          <w:lang w:val="en-GB"/>
        </w:rPr>
        <w:t xml:space="preserve"> </w:t>
      </w:r>
    </w:p>
    <w:p w14:paraId="42A44B02" w14:textId="77777777" w:rsidR="00050C33" w:rsidRPr="00490DD6" w:rsidRDefault="00050C33" w:rsidP="004B068B">
      <w:pPr>
        <w:spacing w:line="360" w:lineRule="auto"/>
        <w:jc w:val="both"/>
        <w:rPr>
          <w:rFonts w:ascii="Times New Roman" w:hAnsi="Times New Roman" w:cs="Times New Roman"/>
          <w:b/>
          <w:bCs/>
          <w:lang w:val="en-GB"/>
        </w:rPr>
      </w:pPr>
    </w:p>
    <w:p w14:paraId="0F50C0DF" w14:textId="16868B8D" w:rsidR="00050C33" w:rsidRPr="00490DD6" w:rsidRDefault="00050C33" w:rsidP="004B068B">
      <w:pPr>
        <w:spacing w:line="360" w:lineRule="auto"/>
        <w:jc w:val="both"/>
        <w:rPr>
          <w:rFonts w:ascii="Times New Roman" w:hAnsi="Times New Roman" w:cs="Times New Roman"/>
          <w:b/>
          <w:bCs/>
          <w:lang w:val="en-GB"/>
        </w:rPr>
      </w:pPr>
      <w:r w:rsidRPr="00490DD6">
        <w:rPr>
          <w:rFonts w:ascii="Times New Roman" w:hAnsi="Times New Roman" w:cs="Times New Roman"/>
          <w:b/>
          <w:bCs/>
          <w:lang w:val="en-GB"/>
        </w:rPr>
        <w:t>References</w:t>
      </w:r>
    </w:p>
    <w:p w14:paraId="744A7019" w14:textId="77777777" w:rsidR="00050C33" w:rsidRPr="00490DD6" w:rsidRDefault="00050C33" w:rsidP="004B068B">
      <w:pPr>
        <w:spacing w:line="360" w:lineRule="auto"/>
        <w:jc w:val="both"/>
        <w:rPr>
          <w:rFonts w:ascii="Times New Roman" w:hAnsi="Times New Roman" w:cs="Times New Roman"/>
          <w:b/>
          <w:bCs/>
          <w:lang w:val="en-GB"/>
        </w:rPr>
      </w:pPr>
    </w:p>
    <w:p w14:paraId="18727667" w14:textId="77777777" w:rsidR="002F194B" w:rsidRPr="00490DD6" w:rsidRDefault="00A70486" w:rsidP="002F194B">
      <w:pPr>
        <w:pStyle w:val="Bibliography"/>
        <w:rPr>
          <w:rFonts w:ascii="Times New Roman" w:hAnsi="Times New Roman" w:cs="Times New Roman"/>
          <w:lang w:val="en-GB"/>
        </w:rPr>
      </w:pPr>
      <w:r w:rsidRPr="00490DD6">
        <w:rPr>
          <w:b/>
          <w:bCs/>
          <w:lang w:val="en-GB"/>
        </w:rPr>
        <w:fldChar w:fldCharType="begin"/>
      </w:r>
      <w:r w:rsidR="007E7B9C" w:rsidRPr="00490DD6">
        <w:rPr>
          <w:b/>
          <w:bCs/>
          <w:lang w:val="en-GB"/>
        </w:rPr>
        <w:instrText xml:space="preserve"> ADDIN ZOTERO_BIBL {"uncited":[],"omitted":[],"custom":[]} CSL_BIBLIOGRAPHY </w:instrText>
      </w:r>
      <w:r w:rsidRPr="00490DD6">
        <w:rPr>
          <w:b/>
          <w:bCs/>
          <w:lang w:val="en-GB"/>
        </w:rPr>
        <w:fldChar w:fldCharType="separate"/>
      </w:r>
      <w:r w:rsidR="002F194B" w:rsidRPr="00490DD6">
        <w:rPr>
          <w:rFonts w:ascii="Times New Roman" w:hAnsi="Times New Roman" w:cs="Times New Roman"/>
          <w:lang w:val="en-GB"/>
        </w:rPr>
        <w:t xml:space="preserve">Cipollina, M. and Salvatici, L. (2010) ‘Reciprocal Trade Agreements in Gravity Models: A Meta-Analysis’, </w:t>
      </w:r>
      <w:r w:rsidR="002F194B" w:rsidRPr="00490DD6">
        <w:rPr>
          <w:rFonts w:ascii="Times New Roman" w:hAnsi="Times New Roman" w:cs="Times New Roman"/>
          <w:i/>
          <w:iCs/>
          <w:lang w:val="en-GB"/>
        </w:rPr>
        <w:t>Review of International Economics</w:t>
      </w:r>
      <w:r w:rsidR="002F194B" w:rsidRPr="00490DD6">
        <w:rPr>
          <w:rFonts w:ascii="Times New Roman" w:hAnsi="Times New Roman" w:cs="Times New Roman"/>
          <w:lang w:val="en-GB"/>
        </w:rPr>
        <w:t>, 18(1), pp. 63–80. Available at: https://doi.org/10.1111/j.1467-9396.2009.00877.x.</w:t>
      </w:r>
    </w:p>
    <w:p w14:paraId="7A3503BD"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Dahi, O.S. and Demir, F. (2013) ‘Preferential trade agreements and manufactured goods exports: does it matter whom you PTA with?’, </w:t>
      </w:r>
      <w:r w:rsidRPr="00490DD6">
        <w:rPr>
          <w:rFonts w:ascii="Times New Roman" w:hAnsi="Times New Roman" w:cs="Times New Roman"/>
          <w:i/>
          <w:iCs/>
          <w:lang w:val="en-GB"/>
        </w:rPr>
        <w:t>Applied Economics</w:t>
      </w:r>
      <w:r w:rsidRPr="00490DD6">
        <w:rPr>
          <w:rFonts w:ascii="Times New Roman" w:hAnsi="Times New Roman" w:cs="Times New Roman"/>
          <w:lang w:val="en-GB"/>
        </w:rPr>
        <w:t>, 45(34), pp. 4754–4772. Available at: https://doi.org/10.1080/00036846.2013.804169.</w:t>
      </w:r>
    </w:p>
    <w:p w14:paraId="5EDD5DF3"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Deme, M. and Ndrianasy, E.R. (2017) ‘Trade-creation and trade-diversion effects of regional trade arrangements: low-income countries’, </w:t>
      </w:r>
      <w:r w:rsidRPr="00490DD6">
        <w:rPr>
          <w:rFonts w:ascii="Times New Roman" w:hAnsi="Times New Roman" w:cs="Times New Roman"/>
          <w:i/>
          <w:iCs/>
          <w:lang w:val="en-GB"/>
        </w:rPr>
        <w:t>Applied Economics</w:t>
      </w:r>
      <w:r w:rsidRPr="00490DD6">
        <w:rPr>
          <w:rFonts w:ascii="Times New Roman" w:hAnsi="Times New Roman" w:cs="Times New Roman"/>
          <w:lang w:val="en-GB"/>
        </w:rPr>
        <w:t>, 49(22), pp. 2188–2202. Available at: https://doi.org/10.1080/00036846.2016.1234700.</w:t>
      </w:r>
    </w:p>
    <w:p w14:paraId="6D6A0984"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Fugazza, M. and Robert-Nicoud, F. (2006) ‘Can South-South trade Liberalisation Stimulate North-South Trade?’, </w:t>
      </w:r>
      <w:r w:rsidRPr="00490DD6">
        <w:rPr>
          <w:rFonts w:ascii="Times New Roman" w:hAnsi="Times New Roman" w:cs="Times New Roman"/>
          <w:i/>
          <w:iCs/>
          <w:lang w:val="en-GB"/>
        </w:rPr>
        <w:t>Journal of Economic Integration</w:t>
      </w:r>
      <w:r w:rsidRPr="00490DD6">
        <w:rPr>
          <w:rFonts w:ascii="Times New Roman" w:hAnsi="Times New Roman" w:cs="Times New Roman"/>
          <w:lang w:val="en-GB"/>
        </w:rPr>
        <w:t>, 21(2), pp. 234–253.</w:t>
      </w:r>
    </w:p>
    <w:p w14:paraId="17FC0FC8"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lastRenderedPageBreak/>
        <w:t xml:space="preserve">Hausmann, R., Hwang, J. and Rodrik, D. (2007) ‘What You Export Matters’, </w:t>
      </w:r>
      <w:r w:rsidRPr="00490DD6">
        <w:rPr>
          <w:rFonts w:ascii="Times New Roman" w:hAnsi="Times New Roman" w:cs="Times New Roman"/>
          <w:i/>
          <w:iCs/>
          <w:lang w:val="en-GB"/>
        </w:rPr>
        <w:t>Journal of Economic Growth</w:t>
      </w:r>
      <w:r w:rsidRPr="00490DD6">
        <w:rPr>
          <w:rFonts w:ascii="Times New Roman" w:hAnsi="Times New Roman" w:cs="Times New Roman"/>
          <w:lang w:val="en-GB"/>
        </w:rPr>
        <w:t>, 12(1), pp. 1–25.</w:t>
      </w:r>
    </w:p>
    <w:p w14:paraId="3BF624AD"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Kohl, T. (2014) ‘Do we really know that trade agreements increase trade?’, </w:t>
      </w:r>
      <w:r w:rsidRPr="00490DD6">
        <w:rPr>
          <w:rFonts w:ascii="Times New Roman" w:hAnsi="Times New Roman" w:cs="Times New Roman"/>
          <w:i/>
          <w:iCs/>
          <w:lang w:val="en-GB"/>
        </w:rPr>
        <w:t>Review of World Economics / Weltwirtschaftliches Archiv</w:t>
      </w:r>
      <w:r w:rsidRPr="00490DD6">
        <w:rPr>
          <w:rFonts w:ascii="Times New Roman" w:hAnsi="Times New Roman" w:cs="Times New Roman"/>
          <w:lang w:val="en-GB"/>
        </w:rPr>
        <w:t>, 150(3), pp. 443–469.</w:t>
      </w:r>
    </w:p>
    <w:p w14:paraId="6CE9E373"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Krugman, P. (1995) ‘Growing World Trade: Causes and Consequences’, </w:t>
      </w:r>
      <w:r w:rsidRPr="00490DD6">
        <w:rPr>
          <w:rFonts w:ascii="Times New Roman" w:hAnsi="Times New Roman" w:cs="Times New Roman"/>
          <w:i/>
          <w:iCs/>
          <w:lang w:val="en-GB"/>
        </w:rPr>
        <w:t>Brookings Papers on Economic Activity</w:t>
      </w:r>
      <w:r w:rsidRPr="00490DD6">
        <w:rPr>
          <w:rFonts w:ascii="Times New Roman" w:hAnsi="Times New Roman" w:cs="Times New Roman"/>
          <w:lang w:val="en-GB"/>
        </w:rPr>
        <w:t xml:space="preserve"> [Preprint].</w:t>
      </w:r>
    </w:p>
    <w:p w14:paraId="63C7B47A"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Mayda, A.M. and Steinberg, C. (2007) ‘Do South-South Trade Agreements Increase Trade? Commodity-Level Evidence from COMESA’. Rochester, NY. Available at: https://papers.ssrn.com/abstract=967881 (Accessed: 13 August 2024).</w:t>
      </w:r>
    </w:p>
    <w:p w14:paraId="7F639657"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Medvedev, D. (2006) ‘Preferential Trade Agreements and Their Role in World Trade’. Rochester, NY. Available at: https://papers.ssrn.com/abstract=938031 (Accessed: 13 August 2024).</w:t>
      </w:r>
    </w:p>
    <w:p w14:paraId="2A8B88A2"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Puga, D. and Venables, A.J. (1998) ‘Trading Arrangements and Industrial Development’.</w:t>
      </w:r>
    </w:p>
    <w:p w14:paraId="46058073"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Sanguinetti, P., Siedschlag, I. and Martincus, C.V. (2010) ‘The Impact of South-South Preferential Trade Agreements on Industrial Development: An Empirical Test’, </w:t>
      </w:r>
      <w:r w:rsidRPr="00490DD6">
        <w:rPr>
          <w:rFonts w:ascii="Times New Roman" w:hAnsi="Times New Roman" w:cs="Times New Roman"/>
          <w:i/>
          <w:iCs/>
          <w:lang w:val="en-GB"/>
        </w:rPr>
        <w:t>Journal of Economic Integration</w:t>
      </w:r>
      <w:r w:rsidRPr="00490DD6">
        <w:rPr>
          <w:rFonts w:ascii="Times New Roman" w:hAnsi="Times New Roman" w:cs="Times New Roman"/>
          <w:lang w:val="en-GB"/>
        </w:rPr>
        <w:t>, 25(1), pp. 69–103.</w:t>
      </w:r>
    </w:p>
    <w:p w14:paraId="5C1D8E32"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Schiff, M. and Wang, Y. (2008) ‘North-South and South-South Trade-Related Technology Diffusion: How Important Are They in Improving TFP Growth?’, </w:t>
      </w:r>
      <w:r w:rsidRPr="00490DD6">
        <w:rPr>
          <w:rFonts w:ascii="Times New Roman" w:hAnsi="Times New Roman" w:cs="Times New Roman"/>
          <w:i/>
          <w:iCs/>
          <w:lang w:val="en-GB"/>
        </w:rPr>
        <w:t>The Journal of Development Studies</w:t>
      </w:r>
      <w:r w:rsidRPr="00490DD6">
        <w:rPr>
          <w:rFonts w:ascii="Times New Roman" w:hAnsi="Times New Roman" w:cs="Times New Roman"/>
          <w:lang w:val="en-GB"/>
        </w:rPr>
        <w:t>, 44(1), pp. 49–59. Available at: https://doi.org/10.1080/00220380701722282.</w:t>
      </w:r>
    </w:p>
    <w:p w14:paraId="74E50CDF"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Schiff, M.W., Winters, L.A. and Schiff, M. (2003) </w:t>
      </w:r>
      <w:r w:rsidRPr="00490DD6">
        <w:rPr>
          <w:rFonts w:ascii="Times New Roman" w:hAnsi="Times New Roman" w:cs="Times New Roman"/>
          <w:i/>
          <w:iCs/>
          <w:lang w:val="en-GB"/>
        </w:rPr>
        <w:t>Regional Integration And Development</w:t>
      </w:r>
      <w:r w:rsidRPr="00490DD6">
        <w:rPr>
          <w:rFonts w:ascii="Times New Roman" w:hAnsi="Times New Roman" w:cs="Times New Roman"/>
          <w:lang w:val="en-GB"/>
        </w:rPr>
        <w:t>. Washington, UNITED STATES: World Bank Publications. Available at: http://ebookcentral.proquest.com/lib/londonschoolecons/detail.action?docID=3050563 (Accessed: 12 August 2024).</w:t>
      </w:r>
    </w:p>
    <w:p w14:paraId="122BB8C2"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Thrasher, R.D. and Gallagher, K.P. (2008) ‘21st Century Trade Agreements: Implications for Long-Run Development Policy’, (2).</w:t>
      </w:r>
    </w:p>
    <w:p w14:paraId="325B939D"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UNIDO (2006) </w:t>
      </w:r>
      <w:r w:rsidRPr="00490DD6">
        <w:rPr>
          <w:rFonts w:ascii="Times New Roman" w:hAnsi="Times New Roman" w:cs="Times New Roman"/>
          <w:i/>
          <w:iCs/>
          <w:lang w:val="en-GB"/>
        </w:rPr>
        <w:t>Industrial Development, Trade and Poverty Reduction through South-South Cooperation</w:t>
      </w:r>
      <w:r w:rsidRPr="00490DD6">
        <w:rPr>
          <w:rFonts w:ascii="Times New Roman" w:hAnsi="Times New Roman" w:cs="Times New Roman"/>
          <w:lang w:val="en-GB"/>
        </w:rPr>
        <w:t>. Available at: https://www.unido.org/sites/default/files/2013-02/industrial_development_south_south_cooperation_0.pdf (Accessed: 13 August 2024).</w:t>
      </w:r>
    </w:p>
    <w:p w14:paraId="7E3ABD28" w14:textId="77777777" w:rsidR="002F194B" w:rsidRPr="00490DD6" w:rsidRDefault="002F194B" w:rsidP="002F194B">
      <w:pPr>
        <w:pStyle w:val="Bibliography"/>
        <w:rPr>
          <w:rFonts w:ascii="Times New Roman" w:hAnsi="Times New Roman" w:cs="Times New Roman"/>
          <w:lang w:val="en-GB"/>
        </w:rPr>
      </w:pPr>
      <w:r w:rsidRPr="00490DD6">
        <w:rPr>
          <w:rFonts w:ascii="Times New Roman" w:hAnsi="Times New Roman" w:cs="Times New Roman"/>
          <w:lang w:val="en-GB"/>
        </w:rPr>
        <w:t xml:space="preserve">Venables, A.J. (2003) ‘Winners and Losers from Regional Integration Agreements’, </w:t>
      </w:r>
      <w:r w:rsidRPr="00490DD6">
        <w:rPr>
          <w:rFonts w:ascii="Times New Roman" w:hAnsi="Times New Roman" w:cs="Times New Roman"/>
          <w:i/>
          <w:iCs/>
          <w:lang w:val="en-GB"/>
        </w:rPr>
        <w:t>The Economic Journal</w:t>
      </w:r>
      <w:r w:rsidRPr="00490DD6">
        <w:rPr>
          <w:rFonts w:ascii="Times New Roman" w:hAnsi="Times New Roman" w:cs="Times New Roman"/>
          <w:lang w:val="en-GB"/>
        </w:rPr>
        <w:t>, 113(490), pp. 747–761. Available at: https://doi.org/10.1111/1468-0297.t01-1-00155.</w:t>
      </w:r>
    </w:p>
    <w:p w14:paraId="6434295E" w14:textId="30FC6FF6" w:rsidR="00A70486" w:rsidRPr="00490DD6" w:rsidRDefault="00A70486" w:rsidP="004B068B">
      <w:pPr>
        <w:spacing w:line="360" w:lineRule="auto"/>
        <w:jc w:val="both"/>
        <w:rPr>
          <w:rFonts w:ascii="Times New Roman" w:hAnsi="Times New Roman" w:cs="Times New Roman"/>
          <w:b/>
          <w:bCs/>
          <w:lang w:val="en-GB"/>
        </w:rPr>
      </w:pPr>
      <w:r w:rsidRPr="00490DD6">
        <w:rPr>
          <w:rFonts w:ascii="Times New Roman" w:hAnsi="Times New Roman" w:cs="Times New Roman"/>
          <w:b/>
          <w:bCs/>
          <w:lang w:val="en-GB"/>
        </w:rPr>
        <w:fldChar w:fldCharType="end"/>
      </w:r>
    </w:p>
    <w:p w14:paraId="3D281208" w14:textId="77777777" w:rsidR="00050C33" w:rsidRPr="00490DD6" w:rsidRDefault="00050C33" w:rsidP="004B068B">
      <w:pPr>
        <w:spacing w:line="360" w:lineRule="auto"/>
        <w:jc w:val="both"/>
        <w:rPr>
          <w:rFonts w:ascii="Times New Roman" w:hAnsi="Times New Roman" w:cs="Times New Roman"/>
          <w:b/>
          <w:bCs/>
          <w:lang w:val="en-GB"/>
        </w:rPr>
      </w:pPr>
    </w:p>
    <w:sectPr w:rsidR="00050C33" w:rsidRPr="00490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3355"/>
    <w:rsid w:val="00004A19"/>
    <w:rsid w:val="00012177"/>
    <w:rsid w:val="00012E21"/>
    <w:rsid w:val="0001335B"/>
    <w:rsid w:val="00015B01"/>
    <w:rsid w:val="00016AA2"/>
    <w:rsid w:val="0002039A"/>
    <w:rsid w:val="00032C62"/>
    <w:rsid w:val="00050C33"/>
    <w:rsid w:val="000560E3"/>
    <w:rsid w:val="0005626F"/>
    <w:rsid w:val="0006509A"/>
    <w:rsid w:val="000708D5"/>
    <w:rsid w:val="00081EEC"/>
    <w:rsid w:val="00084107"/>
    <w:rsid w:val="00086AA4"/>
    <w:rsid w:val="00096D4B"/>
    <w:rsid w:val="000A75B1"/>
    <w:rsid w:val="000B0F3F"/>
    <w:rsid w:val="000B462B"/>
    <w:rsid w:val="000B5421"/>
    <w:rsid w:val="000C11D8"/>
    <w:rsid w:val="000C654A"/>
    <w:rsid w:val="000D0AB8"/>
    <w:rsid w:val="000F2B63"/>
    <w:rsid w:val="000F772E"/>
    <w:rsid w:val="00101AB5"/>
    <w:rsid w:val="00140B1A"/>
    <w:rsid w:val="00142BFC"/>
    <w:rsid w:val="00152A53"/>
    <w:rsid w:val="00152C48"/>
    <w:rsid w:val="00157031"/>
    <w:rsid w:val="0016524D"/>
    <w:rsid w:val="001766AF"/>
    <w:rsid w:val="00186C49"/>
    <w:rsid w:val="00194173"/>
    <w:rsid w:val="001C367E"/>
    <w:rsid w:val="001C3E4C"/>
    <w:rsid w:val="001C650A"/>
    <w:rsid w:val="001D1986"/>
    <w:rsid w:val="001D6F88"/>
    <w:rsid w:val="001E652F"/>
    <w:rsid w:val="001F1A09"/>
    <w:rsid w:val="00204364"/>
    <w:rsid w:val="002112C8"/>
    <w:rsid w:val="00213239"/>
    <w:rsid w:val="00226DC3"/>
    <w:rsid w:val="00235C0F"/>
    <w:rsid w:val="00242BB6"/>
    <w:rsid w:val="00256689"/>
    <w:rsid w:val="002644DF"/>
    <w:rsid w:val="00265FD7"/>
    <w:rsid w:val="002706D9"/>
    <w:rsid w:val="00275615"/>
    <w:rsid w:val="00275DA2"/>
    <w:rsid w:val="00275F4A"/>
    <w:rsid w:val="00285C8B"/>
    <w:rsid w:val="00293A6F"/>
    <w:rsid w:val="002A553F"/>
    <w:rsid w:val="002B3A53"/>
    <w:rsid w:val="002B43A6"/>
    <w:rsid w:val="002B68FB"/>
    <w:rsid w:val="002B79A8"/>
    <w:rsid w:val="002C1E76"/>
    <w:rsid w:val="002D5FB0"/>
    <w:rsid w:val="002F10E8"/>
    <w:rsid w:val="002F194B"/>
    <w:rsid w:val="003020F5"/>
    <w:rsid w:val="00306DF5"/>
    <w:rsid w:val="00306F1E"/>
    <w:rsid w:val="0030755A"/>
    <w:rsid w:val="0031583E"/>
    <w:rsid w:val="00316689"/>
    <w:rsid w:val="003172A2"/>
    <w:rsid w:val="003218F0"/>
    <w:rsid w:val="00324E64"/>
    <w:rsid w:val="00327D38"/>
    <w:rsid w:val="00333234"/>
    <w:rsid w:val="003334EE"/>
    <w:rsid w:val="00333A36"/>
    <w:rsid w:val="00340666"/>
    <w:rsid w:val="00341B85"/>
    <w:rsid w:val="003452FA"/>
    <w:rsid w:val="00347557"/>
    <w:rsid w:val="0035198E"/>
    <w:rsid w:val="00370548"/>
    <w:rsid w:val="0039488D"/>
    <w:rsid w:val="003A57AA"/>
    <w:rsid w:val="003A6A90"/>
    <w:rsid w:val="003B43B0"/>
    <w:rsid w:val="003C68AB"/>
    <w:rsid w:val="003D5FE4"/>
    <w:rsid w:val="003D6AC1"/>
    <w:rsid w:val="003E10E8"/>
    <w:rsid w:val="003E6238"/>
    <w:rsid w:val="003E6557"/>
    <w:rsid w:val="00400E4E"/>
    <w:rsid w:val="00402021"/>
    <w:rsid w:val="00413A2B"/>
    <w:rsid w:val="00427906"/>
    <w:rsid w:val="00444A64"/>
    <w:rsid w:val="00460D2C"/>
    <w:rsid w:val="004636AB"/>
    <w:rsid w:val="00473543"/>
    <w:rsid w:val="00476630"/>
    <w:rsid w:val="00490DD6"/>
    <w:rsid w:val="004A6349"/>
    <w:rsid w:val="004A671E"/>
    <w:rsid w:val="004A703A"/>
    <w:rsid w:val="004B068B"/>
    <w:rsid w:val="004B4691"/>
    <w:rsid w:val="004B4EDC"/>
    <w:rsid w:val="004B7931"/>
    <w:rsid w:val="004C0F46"/>
    <w:rsid w:val="004C1DEE"/>
    <w:rsid w:val="004C269E"/>
    <w:rsid w:val="004C525F"/>
    <w:rsid w:val="004D220F"/>
    <w:rsid w:val="004D388F"/>
    <w:rsid w:val="004D4EC5"/>
    <w:rsid w:val="004D5C73"/>
    <w:rsid w:val="004E1D04"/>
    <w:rsid w:val="00523FB5"/>
    <w:rsid w:val="00550F37"/>
    <w:rsid w:val="00551E2C"/>
    <w:rsid w:val="00552DC7"/>
    <w:rsid w:val="00557E98"/>
    <w:rsid w:val="00564B2B"/>
    <w:rsid w:val="005672F4"/>
    <w:rsid w:val="005850E7"/>
    <w:rsid w:val="00585A35"/>
    <w:rsid w:val="0058638D"/>
    <w:rsid w:val="005943C8"/>
    <w:rsid w:val="005A5638"/>
    <w:rsid w:val="005A6933"/>
    <w:rsid w:val="005B28C2"/>
    <w:rsid w:val="005C5FF6"/>
    <w:rsid w:val="005D3998"/>
    <w:rsid w:val="005E2125"/>
    <w:rsid w:val="005E6B9D"/>
    <w:rsid w:val="005F0066"/>
    <w:rsid w:val="005F2015"/>
    <w:rsid w:val="005F57A0"/>
    <w:rsid w:val="005F6A1C"/>
    <w:rsid w:val="00602DAF"/>
    <w:rsid w:val="006201CE"/>
    <w:rsid w:val="006202A2"/>
    <w:rsid w:val="00624634"/>
    <w:rsid w:val="006345AB"/>
    <w:rsid w:val="006460F3"/>
    <w:rsid w:val="006544E4"/>
    <w:rsid w:val="006559B1"/>
    <w:rsid w:val="00664BD9"/>
    <w:rsid w:val="00675E92"/>
    <w:rsid w:val="00680145"/>
    <w:rsid w:val="00682EA7"/>
    <w:rsid w:val="006840CB"/>
    <w:rsid w:val="006869A3"/>
    <w:rsid w:val="006922B5"/>
    <w:rsid w:val="006A5D40"/>
    <w:rsid w:val="006A5D75"/>
    <w:rsid w:val="006C0658"/>
    <w:rsid w:val="006C27EA"/>
    <w:rsid w:val="006D3169"/>
    <w:rsid w:val="00705C87"/>
    <w:rsid w:val="00707AE0"/>
    <w:rsid w:val="00710D7D"/>
    <w:rsid w:val="00713B35"/>
    <w:rsid w:val="00715090"/>
    <w:rsid w:val="00717AAC"/>
    <w:rsid w:val="00722B19"/>
    <w:rsid w:val="0072636F"/>
    <w:rsid w:val="0073276E"/>
    <w:rsid w:val="00737265"/>
    <w:rsid w:val="00746512"/>
    <w:rsid w:val="00761C1E"/>
    <w:rsid w:val="00763A72"/>
    <w:rsid w:val="00764AFB"/>
    <w:rsid w:val="00765168"/>
    <w:rsid w:val="0076585A"/>
    <w:rsid w:val="00780C33"/>
    <w:rsid w:val="007850AC"/>
    <w:rsid w:val="007B16F6"/>
    <w:rsid w:val="007B3A8D"/>
    <w:rsid w:val="007B53A5"/>
    <w:rsid w:val="007B7F00"/>
    <w:rsid w:val="007B7F65"/>
    <w:rsid w:val="007C7989"/>
    <w:rsid w:val="007D3D94"/>
    <w:rsid w:val="007D44C8"/>
    <w:rsid w:val="007D4BC8"/>
    <w:rsid w:val="007E7B9C"/>
    <w:rsid w:val="00802B3A"/>
    <w:rsid w:val="00805E62"/>
    <w:rsid w:val="00811A10"/>
    <w:rsid w:val="00825CC9"/>
    <w:rsid w:val="00827742"/>
    <w:rsid w:val="00834FF4"/>
    <w:rsid w:val="00857B18"/>
    <w:rsid w:val="008A6A7C"/>
    <w:rsid w:val="008B04F0"/>
    <w:rsid w:val="008B0C99"/>
    <w:rsid w:val="008B7E64"/>
    <w:rsid w:val="008C72AD"/>
    <w:rsid w:val="008E1DB6"/>
    <w:rsid w:val="008E2803"/>
    <w:rsid w:val="008E4140"/>
    <w:rsid w:val="008F499A"/>
    <w:rsid w:val="008F6C8D"/>
    <w:rsid w:val="0090124A"/>
    <w:rsid w:val="00902EAC"/>
    <w:rsid w:val="009068CF"/>
    <w:rsid w:val="009133A8"/>
    <w:rsid w:val="00932C65"/>
    <w:rsid w:val="00941694"/>
    <w:rsid w:val="00944D8F"/>
    <w:rsid w:val="00945F06"/>
    <w:rsid w:val="00954C54"/>
    <w:rsid w:val="00962C90"/>
    <w:rsid w:val="009701A3"/>
    <w:rsid w:val="009740F8"/>
    <w:rsid w:val="009826F5"/>
    <w:rsid w:val="009903DB"/>
    <w:rsid w:val="009920D6"/>
    <w:rsid w:val="009D3FED"/>
    <w:rsid w:val="009E643E"/>
    <w:rsid w:val="009F3802"/>
    <w:rsid w:val="00A10991"/>
    <w:rsid w:val="00A165B6"/>
    <w:rsid w:val="00A17B7A"/>
    <w:rsid w:val="00A248B4"/>
    <w:rsid w:val="00A26820"/>
    <w:rsid w:val="00A34160"/>
    <w:rsid w:val="00A46513"/>
    <w:rsid w:val="00A47000"/>
    <w:rsid w:val="00A475C9"/>
    <w:rsid w:val="00A50A4F"/>
    <w:rsid w:val="00A53B0F"/>
    <w:rsid w:val="00A57253"/>
    <w:rsid w:val="00A57426"/>
    <w:rsid w:val="00A6477D"/>
    <w:rsid w:val="00A668A6"/>
    <w:rsid w:val="00A70486"/>
    <w:rsid w:val="00A73F5B"/>
    <w:rsid w:val="00A75C0A"/>
    <w:rsid w:val="00A9345C"/>
    <w:rsid w:val="00A93D44"/>
    <w:rsid w:val="00A94CE2"/>
    <w:rsid w:val="00AA5928"/>
    <w:rsid w:val="00AA7F43"/>
    <w:rsid w:val="00AC3F1A"/>
    <w:rsid w:val="00AC6419"/>
    <w:rsid w:val="00AF1718"/>
    <w:rsid w:val="00B04E23"/>
    <w:rsid w:val="00B20CB3"/>
    <w:rsid w:val="00B2131A"/>
    <w:rsid w:val="00B219CA"/>
    <w:rsid w:val="00B31281"/>
    <w:rsid w:val="00B33C2A"/>
    <w:rsid w:val="00B45A1D"/>
    <w:rsid w:val="00B50C3E"/>
    <w:rsid w:val="00B62A67"/>
    <w:rsid w:val="00B85531"/>
    <w:rsid w:val="00B8799B"/>
    <w:rsid w:val="00B91DB4"/>
    <w:rsid w:val="00B96BCB"/>
    <w:rsid w:val="00BB29C9"/>
    <w:rsid w:val="00BB35E7"/>
    <w:rsid w:val="00BC059E"/>
    <w:rsid w:val="00BD2A04"/>
    <w:rsid w:val="00BD2B7C"/>
    <w:rsid w:val="00BD65E1"/>
    <w:rsid w:val="00C00FCA"/>
    <w:rsid w:val="00C066A6"/>
    <w:rsid w:val="00C11BAE"/>
    <w:rsid w:val="00C11FCD"/>
    <w:rsid w:val="00C2212B"/>
    <w:rsid w:val="00C236AA"/>
    <w:rsid w:val="00C26EF9"/>
    <w:rsid w:val="00C328C2"/>
    <w:rsid w:val="00C34644"/>
    <w:rsid w:val="00C43F7E"/>
    <w:rsid w:val="00C54043"/>
    <w:rsid w:val="00C92686"/>
    <w:rsid w:val="00CC1549"/>
    <w:rsid w:val="00CE62BD"/>
    <w:rsid w:val="00CF0BCE"/>
    <w:rsid w:val="00D03BBF"/>
    <w:rsid w:val="00D10591"/>
    <w:rsid w:val="00D14BCA"/>
    <w:rsid w:val="00D158A2"/>
    <w:rsid w:val="00D16B67"/>
    <w:rsid w:val="00D17019"/>
    <w:rsid w:val="00D21995"/>
    <w:rsid w:val="00D312BE"/>
    <w:rsid w:val="00D319A1"/>
    <w:rsid w:val="00D36471"/>
    <w:rsid w:val="00D45955"/>
    <w:rsid w:val="00D62E52"/>
    <w:rsid w:val="00D76073"/>
    <w:rsid w:val="00D9021C"/>
    <w:rsid w:val="00DA2510"/>
    <w:rsid w:val="00DA406D"/>
    <w:rsid w:val="00DC0033"/>
    <w:rsid w:val="00DC2015"/>
    <w:rsid w:val="00DD5F66"/>
    <w:rsid w:val="00DD7718"/>
    <w:rsid w:val="00DE61CE"/>
    <w:rsid w:val="00DE66DC"/>
    <w:rsid w:val="00DF4BD3"/>
    <w:rsid w:val="00DF5550"/>
    <w:rsid w:val="00DF6645"/>
    <w:rsid w:val="00E01851"/>
    <w:rsid w:val="00E019EB"/>
    <w:rsid w:val="00E048E0"/>
    <w:rsid w:val="00E05A47"/>
    <w:rsid w:val="00E136EC"/>
    <w:rsid w:val="00E16417"/>
    <w:rsid w:val="00E21512"/>
    <w:rsid w:val="00E25FE1"/>
    <w:rsid w:val="00E31DC8"/>
    <w:rsid w:val="00E3662A"/>
    <w:rsid w:val="00E46377"/>
    <w:rsid w:val="00E60439"/>
    <w:rsid w:val="00E67D0F"/>
    <w:rsid w:val="00E82DEA"/>
    <w:rsid w:val="00E8618D"/>
    <w:rsid w:val="00E9505E"/>
    <w:rsid w:val="00E95B23"/>
    <w:rsid w:val="00EA4D16"/>
    <w:rsid w:val="00EA7D92"/>
    <w:rsid w:val="00EB6113"/>
    <w:rsid w:val="00EC4364"/>
    <w:rsid w:val="00ED53D7"/>
    <w:rsid w:val="00ED748E"/>
    <w:rsid w:val="00EF42AF"/>
    <w:rsid w:val="00F0475D"/>
    <w:rsid w:val="00F11FDF"/>
    <w:rsid w:val="00F13DC2"/>
    <w:rsid w:val="00F21575"/>
    <w:rsid w:val="00F21EA0"/>
    <w:rsid w:val="00F42B09"/>
    <w:rsid w:val="00F452F9"/>
    <w:rsid w:val="00F45D59"/>
    <w:rsid w:val="00F5369E"/>
    <w:rsid w:val="00F54508"/>
    <w:rsid w:val="00F655CE"/>
    <w:rsid w:val="00F754A1"/>
    <w:rsid w:val="00F8047B"/>
    <w:rsid w:val="00F95331"/>
    <w:rsid w:val="00F96AB4"/>
    <w:rsid w:val="00FA393B"/>
    <w:rsid w:val="00FB15F9"/>
    <w:rsid w:val="00FB530B"/>
    <w:rsid w:val="00FC4ACA"/>
    <w:rsid w:val="00FC7683"/>
    <w:rsid w:val="00FC7BF5"/>
    <w:rsid w:val="00FE0280"/>
    <w:rsid w:val="00FE3547"/>
    <w:rsid w:val="00FE53B6"/>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0058">
      <w:bodyDiv w:val="1"/>
      <w:marLeft w:val="0"/>
      <w:marRight w:val="0"/>
      <w:marTop w:val="0"/>
      <w:marBottom w:val="0"/>
      <w:divBdr>
        <w:top w:val="none" w:sz="0" w:space="0" w:color="auto"/>
        <w:left w:val="none" w:sz="0" w:space="0" w:color="auto"/>
        <w:bottom w:val="none" w:sz="0" w:space="0" w:color="auto"/>
        <w:right w:val="none" w:sz="0" w:space="0" w:color="auto"/>
      </w:divBdr>
      <w:divsChild>
        <w:div w:id="1913930462">
          <w:marLeft w:val="0"/>
          <w:marRight w:val="0"/>
          <w:marTop w:val="0"/>
          <w:marBottom w:val="0"/>
          <w:divBdr>
            <w:top w:val="none" w:sz="0" w:space="0" w:color="auto"/>
            <w:left w:val="none" w:sz="0" w:space="0" w:color="auto"/>
            <w:bottom w:val="none" w:sz="0" w:space="0" w:color="auto"/>
            <w:right w:val="none" w:sz="0" w:space="0" w:color="auto"/>
          </w:divBdr>
          <w:divsChild>
            <w:div w:id="975716953">
              <w:marLeft w:val="0"/>
              <w:marRight w:val="0"/>
              <w:marTop w:val="0"/>
              <w:marBottom w:val="0"/>
              <w:divBdr>
                <w:top w:val="none" w:sz="0" w:space="0" w:color="auto"/>
                <w:left w:val="none" w:sz="0" w:space="0" w:color="auto"/>
                <w:bottom w:val="none" w:sz="0" w:space="0" w:color="auto"/>
                <w:right w:val="none" w:sz="0" w:space="0" w:color="auto"/>
              </w:divBdr>
              <w:divsChild>
                <w:div w:id="1562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977">
      <w:bodyDiv w:val="1"/>
      <w:marLeft w:val="0"/>
      <w:marRight w:val="0"/>
      <w:marTop w:val="0"/>
      <w:marBottom w:val="0"/>
      <w:divBdr>
        <w:top w:val="none" w:sz="0" w:space="0" w:color="auto"/>
        <w:left w:val="none" w:sz="0" w:space="0" w:color="auto"/>
        <w:bottom w:val="none" w:sz="0" w:space="0" w:color="auto"/>
        <w:right w:val="none" w:sz="0" w:space="0" w:color="auto"/>
      </w:divBdr>
      <w:divsChild>
        <w:div w:id="803472384">
          <w:marLeft w:val="0"/>
          <w:marRight w:val="0"/>
          <w:marTop w:val="0"/>
          <w:marBottom w:val="0"/>
          <w:divBdr>
            <w:top w:val="none" w:sz="0" w:space="0" w:color="auto"/>
            <w:left w:val="none" w:sz="0" w:space="0" w:color="auto"/>
            <w:bottom w:val="none" w:sz="0" w:space="0" w:color="auto"/>
            <w:right w:val="none" w:sz="0" w:space="0" w:color="auto"/>
          </w:divBdr>
          <w:divsChild>
            <w:div w:id="1162089134">
              <w:marLeft w:val="0"/>
              <w:marRight w:val="0"/>
              <w:marTop w:val="0"/>
              <w:marBottom w:val="0"/>
              <w:divBdr>
                <w:top w:val="none" w:sz="0" w:space="0" w:color="auto"/>
                <w:left w:val="none" w:sz="0" w:space="0" w:color="auto"/>
                <w:bottom w:val="none" w:sz="0" w:space="0" w:color="auto"/>
                <w:right w:val="none" w:sz="0" w:space="0" w:color="auto"/>
              </w:divBdr>
              <w:divsChild>
                <w:div w:id="159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8</cp:revision>
  <dcterms:created xsi:type="dcterms:W3CDTF">2024-08-15T17:22:00Z</dcterms:created>
  <dcterms:modified xsi:type="dcterms:W3CDTF">2024-08-17T15:35:00Z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id="A2DQifAR"/&gt;&lt;style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