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48AF5" w14:textId="07C0B0D4" w:rsidR="00503287" w:rsidRPr="001F34A5" w:rsidRDefault="00484B47" w:rsidP="000A22CD">
      <w:pPr>
        <w:jc w:val="both"/>
        <w:rPr>
          <w:lang w:val="en-GB"/>
        </w:rPr>
      </w:pPr>
      <w:r w:rsidRPr="001F34A5">
        <w:rPr>
          <w:lang w:val="en-GB"/>
        </w:rPr>
        <w:t xml:space="preserve">The </w:t>
      </w:r>
      <w:r w:rsidR="00503287" w:rsidRPr="001F34A5">
        <w:rPr>
          <w:lang w:val="en-GB"/>
        </w:rPr>
        <w:t>Gravity Model of Trade</w:t>
      </w:r>
    </w:p>
    <w:p w14:paraId="416F81F2" w14:textId="77777777" w:rsidR="00EC6D1A" w:rsidRPr="001F34A5" w:rsidRDefault="00EC6D1A" w:rsidP="000A22CD">
      <w:pPr>
        <w:jc w:val="both"/>
        <w:rPr>
          <w:lang w:val="en-GB"/>
        </w:rPr>
      </w:pPr>
    </w:p>
    <w:p w14:paraId="360A8774" w14:textId="10F8934E" w:rsidR="00EC6D1A" w:rsidRPr="001F34A5" w:rsidRDefault="00484B47" w:rsidP="000A22CD">
      <w:pPr>
        <w:jc w:val="both"/>
        <w:rPr>
          <w:lang w:val="en-GB"/>
        </w:rPr>
      </w:pPr>
      <w:r w:rsidRPr="001F34A5">
        <w:rPr>
          <w:lang w:val="en-GB"/>
        </w:rPr>
        <w:t xml:space="preserve">Often referred as the “workhorse” of international trade, the gravity model </w:t>
      </w:r>
      <w:r w:rsidR="00AC7D93" w:rsidRPr="001F34A5">
        <w:rPr>
          <w:lang w:val="en-GB"/>
        </w:rPr>
        <w:t>is prominent in the empirical literature of applied international trade analysis.</w:t>
      </w:r>
      <w:r w:rsidR="00640EC1" w:rsidRPr="001F34A5">
        <w:rPr>
          <w:lang w:val="en-GB"/>
        </w:rPr>
        <w:t xml:space="preserve"> Among the arguments that could explain/support the use of the gravity model, there are four that are particularly relevant for our purposes. First, the gravity model of trade is intuitive to understand</w:t>
      </w:r>
      <w:r w:rsidR="000A22CD" w:rsidRPr="001F34A5">
        <w:rPr>
          <w:lang w:val="en-GB"/>
        </w:rPr>
        <w:t>. Following the metaphor of Newton’s Law of Universal Gravitation, it predicts that international trade between two countries is directly proportional to the product of their economic size, and inversely proportional to trade frictions between them.</w:t>
      </w:r>
      <w:r w:rsidR="007613E4" w:rsidRPr="001F34A5">
        <w:rPr>
          <w:lang w:val="en-GB"/>
        </w:rPr>
        <w:t xml:space="preserve"> In simpler words, the bigger </w:t>
      </w:r>
      <w:r w:rsidR="002A56A4" w:rsidRPr="001F34A5">
        <w:rPr>
          <w:lang w:val="en-GB"/>
        </w:rPr>
        <w:t xml:space="preserve">(smaller) </w:t>
      </w:r>
      <w:r w:rsidR="007613E4" w:rsidRPr="001F34A5">
        <w:rPr>
          <w:lang w:val="en-GB"/>
        </w:rPr>
        <w:t xml:space="preserve">the economies of two countries, and the easier </w:t>
      </w:r>
      <w:r w:rsidR="002A56A4" w:rsidRPr="001F34A5">
        <w:rPr>
          <w:lang w:val="en-GB"/>
        </w:rPr>
        <w:t xml:space="preserve">(harder) </w:t>
      </w:r>
      <w:r w:rsidR="007613E4" w:rsidRPr="001F34A5">
        <w:rPr>
          <w:lang w:val="en-GB"/>
        </w:rPr>
        <w:t>it is for them to trade</w:t>
      </w:r>
      <w:r w:rsidR="000A22CD" w:rsidRPr="001F34A5">
        <w:rPr>
          <w:lang w:val="en-GB"/>
        </w:rPr>
        <w:t xml:space="preserve"> </w:t>
      </w:r>
      <w:r w:rsidR="007613E4" w:rsidRPr="001F34A5">
        <w:rPr>
          <w:lang w:val="en-GB"/>
        </w:rPr>
        <w:t>with each other, the more</w:t>
      </w:r>
      <w:r w:rsidR="002A56A4" w:rsidRPr="001F34A5">
        <w:rPr>
          <w:lang w:val="en-GB"/>
        </w:rPr>
        <w:t xml:space="preserve"> (less)</w:t>
      </w:r>
      <w:r w:rsidR="007613E4" w:rsidRPr="001F34A5">
        <w:rPr>
          <w:lang w:val="en-GB"/>
        </w:rPr>
        <w:t xml:space="preserve"> we expect them to trade.</w:t>
      </w:r>
      <w:r w:rsidR="00786687" w:rsidRPr="001F34A5">
        <w:rPr>
          <w:lang w:val="en-GB"/>
        </w:rPr>
        <w:t xml:space="preserve"> Second, it is referred to as a structural model with solid theoretical foundations, which </w:t>
      </w:r>
      <w:r w:rsidR="008E0DB6" w:rsidRPr="001F34A5">
        <w:rPr>
          <w:lang w:val="en-GB"/>
        </w:rPr>
        <w:t xml:space="preserve">makes it appropriate for counterfactual analysis, such as </w:t>
      </w:r>
      <w:r w:rsidR="00EC24B6" w:rsidRPr="001F34A5">
        <w:rPr>
          <w:lang w:val="en-GB"/>
        </w:rPr>
        <w:t xml:space="preserve">measuring the effects of trade policies as we aim to do with the effects of South-North versus South-South agreements. </w:t>
      </w:r>
      <w:r w:rsidR="00500EC1" w:rsidRPr="001F34A5">
        <w:rPr>
          <w:lang w:val="en-GB"/>
        </w:rPr>
        <w:t xml:space="preserve">Third, model </w:t>
      </w:r>
      <w:r w:rsidR="003008B9" w:rsidRPr="001F34A5">
        <w:rPr>
          <w:lang w:val="en-GB"/>
        </w:rPr>
        <w:t xml:space="preserve">has a flexible structure, which will allow us to </w:t>
      </w:r>
      <w:r w:rsidR="0051576E" w:rsidRPr="001F34A5">
        <w:rPr>
          <w:lang w:val="en-GB"/>
        </w:rPr>
        <w:t xml:space="preserve">construct </w:t>
      </w:r>
      <w:r w:rsidR="006831F3" w:rsidRPr="001F34A5">
        <w:rPr>
          <w:lang w:val="en-GB"/>
        </w:rPr>
        <w:t xml:space="preserve">a specification tailored to our research. Finally, fourth, </w:t>
      </w:r>
      <w:r w:rsidR="002B77F1" w:rsidRPr="001F34A5">
        <w:rPr>
          <w:lang w:val="en-GB"/>
        </w:rPr>
        <w:t xml:space="preserve">it </w:t>
      </w:r>
      <w:r w:rsidR="00183F9F" w:rsidRPr="001F34A5">
        <w:rPr>
          <w:lang w:val="en-GB"/>
        </w:rPr>
        <w:t xml:space="preserve">holds </w:t>
      </w:r>
      <w:r w:rsidR="00CB0677" w:rsidRPr="001F34A5">
        <w:rPr>
          <w:lang w:val="en-GB"/>
        </w:rPr>
        <w:t>consistent</w:t>
      </w:r>
      <w:r w:rsidR="00F076D0" w:rsidRPr="001F34A5">
        <w:rPr>
          <w:lang w:val="en-GB"/>
        </w:rPr>
        <w:t xml:space="preserve"> and remarkable</w:t>
      </w:r>
      <w:r w:rsidR="00183F9F" w:rsidRPr="001F34A5">
        <w:rPr>
          <w:lang w:val="en-GB"/>
        </w:rPr>
        <w:t xml:space="preserve"> predictive power, </w:t>
      </w:r>
      <w:r w:rsidR="00186159" w:rsidRPr="001F34A5">
        <w:rPr>
          <w:lang w:val="en-GB"/>
        </w:rPr>
        <w:t xml:space="preserve">both with </w:t>
      </w:r>
      <w:r w:rsidR="00D47AEA" w:rsidRPr="001F34A5">
        <w:rPr>
          <w:lang w:val="en-GB"/>
        </w:rPr>
        <w:t>aggregate and sectoral data</w:t>
      </w:r>
      <w:r w:rsidR="00AC7D93" w:rsidRPr="001F34A5">
        <w:rPr>
          <w:lang w:val="en-GB"/>
        </w:rPr>
        <w:t xml:space="preserve"> </w:t>
      </w:r>
      <w:r w:rsidR="00DF455C">
        <w:rPr>
          <w:lang w:val="en-US"/>
        </w:rPr>
        <w:fldChar w:fldCharType="begin"/>
      </w:r>
      <w:r w:rsidR="00DF455C">
        <w:rPr>
          <w:lang w:val="en-US"/>
        </w:rPr>
        <w:instrText xml:space="preserve"> ADDIN ZOTERO_ITEM CSL_CITATION {"citationID":"YkcYNjeZ","properties":{"formattedCitation":"(Yotov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w:t>
      </w:r>
      <w:proofErr w:type="spellStart"/>
      <w:r w:rsidR="00595013">
        <w:rPr>
          <w:lang w:val="en-US"/>
        </w:rPr>
        <w:t>Yotov</w:t>
      </w:r>
      <w:proofErr w:type="spellEnd"/>
      <w:r w:rsidR="00595013">
        <w:rPr>
          <w:lang w:val="en-US"/>
        </w:rPr>
        <w:t xml:space="preserve"> et al. 2016)</w:t>
      </w:r>
      <w:r w:rsidR="00DF455C">
        <w:rPr>
          <w:lang w:val="en-US"/>
        </w:rPr>
        <w:fldChar w:fldCharType="end"/>
      </w:r>
      <w:r w:rsidR="00D47AEA" w:rsidRPr="001F34A5">
        <w:rPr>
          <w:lang w:val="en-GB"/>
        </w:rPr>
        <w:t>.</w:t>
      </w:r>
    </w:p>
    <w:p w14:paraId="3B0BFF7C" w14:textId="77777777" w:rsidR="00CF33D8" w:rsidRPr="001F34A5" w:rsidRDefault="00CF33D8" w:rsidP="00503287">
      <w:pPr>
        <w:rPr>
          <w:lang w:val="en-GB"/>
        </w:rPr>
      </w:pPr>
    </w:p>
    <w:p w14:paraId="2D12957E" w14:textId="3BB01803" w:rsidR="00E57218" w:rsidRPr="001F34A5" w:rsidRDefault="00B07293" w:rsidP="00E57218">
      <w:pPr>
        <w:jc w:val="both"/>
        <w:rPr>
          <w:lang w:val="en-GB"/>
        </w:rPr>
      </w:pPr>
      <w:r w:rsidRPr="001F34A5">
        <w:rPr>
          <w:lang w:val="en-GB"/>
        </w:rPr>
        <w:t xml:space="preserve">Through the decades, the gravity equation has </w:t>
      </w:r>
      <w:r w:rsidR="00016401" w:rsidRPr="001F34A5">
        <w:rPr>
          <w:lang w:val="en-GB"/>
        </w:rPr>
        <w:t xml:space="preserve">been regularly upgraded in the </w:t>
      </w:r>
      <w:r w:rsidR="00B718FF" w:rsidRPr="001F34A5">
        <w:rPr>
          <w:lang w:val="en-GB"/>
        </w:rPr>
        <w:t xml:space="preserve">theoretical and </w:t>
      </w:r>
      <w:r w:rsidR="00016401" w:rsidRPr="001F34A5">
        <w:rPr>
          <w:lang w:val="en-GB"/>
        </w:rPr>
        <w:t>empirical literature</w:t>
      </w:r>
      <w:r w:rsidR="00B718FF" w:rsidRPr="001F34A5">
        <w:rPr>
          <w:lang w:val="en-GB"/>
        </w:rPr>
        <w:t xml:space="preserve">. </w:t>
      </w:r>
      <w:r w:rsidR="00D03ED3" w:rsidRPr="001F34A5">
        <w:rPr>
          <w:lang w:val="en-GB"/>
        </w:rPr>
        <w:t>Of relevance</w:t>
      </w:r>
      <w:r w:rsidR="00E02B18" w:rsidRPr="001F34A5">
        <w:rPr>
          <w:lang w:val="en-GB"/>
        </w:rPr>
        <w:t>, t</w:t>
      </w:r>
      <w:r w:rsidR="00B718FF" w:rsidRPr="001F34A5">
        <w:rPr>
          <w:lang w:val="en-GB"/>
        </w:rPr>
        <w:t xml:space="preserve">he simple intuition of the gravity model </w:t>
      </w:r>
      <w:r w:rsidR="00B1431E" w:rsidRPr="001F34A5">
        <w:rPr>
          <w:lang w:val="en-GB"/>
        </w:rPr>
        <w:t>was</w:t>
      </w:r>
      <w:r w:rsidR="00B718FF" w:rsidRPr="001F34A5">
        <w:rPr>
          <w:lang w:val="en-GB"/>
        </w:rPr>
        <w:t xml:space="preserve"> theoretically extended by Anderson to note that, after controlling for size, the increase or decrease is </w:t>
      </w:r>
      <w:r w:rsidR="00B718FF" w:rsidRPr="001F34A5">
        <w:rPr>
          <w:i/>
          <w:iCs/>
          <w:lang w:val="en-GB"/>
        </w:rPr>
        <w:t>relative</w:t>
      </w:r>
      <w:r w:rsidR="00B718FF" w:rsidRPr="001F34A5">
        <w:rPr>
          <w:lang w:val="en-GB"/>
        </w:rPr>
        <w:t xml:space="preserve"> to the average barriers of the two countries with all their partners, which </w:t>
      </w:r>
      <w:r w:rsidR="009272E6" w:rsidRPr="001F34A5">
        <w:rPr>
          <w:lang w:val="en-GB"/>
        </w:rPr>
        <w:t>are</w:t>
      </w:r>
      <w:r w:rsidR="00B718FF" w:rsidRPr="001F34A5">
        <w:rPr>
          <w:lang w:val="en-GB"/>
        </w:rPr>
        <w:t xml:space="preserve"> referred as “multilateral resistance” </w:t>
      </w:r>
      <w:r w:rsidR="00DF455C">
        <w:rPr>
          <w:lang w:val="en-GB"/>
        </w:rPr>
        <w:fldChar w:fldCharType="begin"/>
      </w:r>
      <w:r w:rsidR="00DF455C">
        <w:rPr>
          <w:lang w:val="en-GB"/>
        </w:rPr>
        <w:instrText xml:space="preserve"> ADDIN ZOTERO_ITEM CSL_CITATION {"citationID":"698OdPsZ","properties":{"formattedCitation":"(Anderson 1979)","plainCitation":"(Anderson 1979)","noteIndex":0},"citationItems":[{"id":251,"uris":["http://zotero.org/users/13839746/items/8RNPUHAC"],"itemData":{"id":251,"type":"article-journal","container-title":"The American Economic Review","ISSN":"0002-8282","issue":"1","note":"publisher: American Economic Association","page":"106-116","source":"JSTOR","title":"A Theoretical Foundation for the Gravity Equation","volume":"69","author":[{"family":"Anderson","given":"James E."}],"issued":{"date-parts":[["1979"]]}}}],"schema":"https://github.com/citation-style-language/schema/raw/master/csl-citation.json"} </w:instrText>
      </w:r>
      <w:r w:rsidR="00DF455C">
        <w:rPr>
          <w:lang w:val="en-GB"/>
        </w:rPr>
        <w:fldChar w:fldCharType="separate"/>
      </w:r>
      <w:r w:rsidR="00595013">
        <w:rPr>
          <w:noProof/>
          <w:lang w:val="en-GB"/>
        </w:rPr>
        <w:t>(Anderson 1979)</w:t>
      </w:r>
      <w:r w:rsidR="00DF455C">
        <w:rPr>
          <w:lang w:val="en-GB"/>
        </w:rPr>
        <w:fldChar w:fldCharType="end"/>
      </w:r>
      <w:r w:rsidR="00B718FF" w:rsidRPr="001F34A5">
        <w:rPr>
          <w:lang w:val="en-GB"/>
        </w:rPr>
        <w:t>.</w:t>
      </w:r>
      <w:r w:rsidR="006769FC" w:rsidRPr="001F34A5">
        <w:rPr>
          <w:lang w:val="en-GB"/>
        </w:rPr>
        <w:t xml:space="preserve"> The more trade barriers or resistance to trade exists with other countries relative to a given partner, the more a country is pushed to trade with said partner.</w:t>
      </w:r>
      <w:r w:rsidR="00E57218" w:rsidRPr="001F34A5">
        <w:rPr>
          <w:lang w:val="en-GB"/>
        </w:rPr>
        <w:t xml:space="preserve"> Anderson also introduced the assumptions </w:t>
      </w:r>
      <w:r w:rsidR="00D03ED3" w:rsidRPr="001F34A5">
        <w:rPr>
          <w:lang w:val="en-GB"/>
        </w:rPr>
        <w:t xml:space="preserve">of </w:t>
      </w:r>
      <w:r w:rsidR="00E57218" w:rsidRPr="001F34A5">
        <w:rPr>
          <w:lang w:val="en-GB"/>
        </w:rPr>
        <w:t>product differentiation by place of origin</w:t>
      </w:r>
      <w:r w:rsidR="00D03ED3" w:rsidRPr="001F34A5">
        <w:rPr>
          <w:lang w:val="en-GB"/>
        </w:rPr>
        <w:t>,</w:t>
      </w:r>
      <w:r w:rsidR="00E57218" w:rsidRPr="001F34A5">
        <w:rPr>
          <w:lang w:val="en-GB"/>
        </w:rPr>
        <w:t xml:space="preserve"> and Constant Elasticity of Substitution (CES) expenditures</w:t>
      </w:r>
      <w:r w:rsidR="00D03ED3" w:rsidRPr="001F34A5">
        <w:rPr>
          <w:lang w:val="en-GB"/>
        </w:rPr>
        <w:t xml:space="preserve"> </w:t>
      </w:r>
      <w:r w:rsidR="009272E6" w:rsidRPr="001F34A5">
        <w:rPr>
          <w:lang w:val="en-GB"/>
        </w:rPr>
        <w:t>,</w:t>
      </w:r>
      <w:r w:rsidR="00D03ED3" w:rsidRPr="001F34A5">
        <w:rPr>
          <w:lang w:val="en-GB"/>
        </w:rPr>
        <w:t>or</w:t>
      </w:r>
      <w:r w:rsidR="009272E6" w:rsidRPr="001F34A5">
        <w:rPr>
          <w:lang w:val="en-GB"/>
        </w:rPr>
        <w:t xml:space="preserve"> the</w:t>
      </w:r>
      <w:r w:rsidR="00D03ED3" w:rsidRPr="001F34A5">
        <w:rPr>
          <w:lang w:val="en-GB"/>
        </w:rPr>
        <w:t xml:space="preserve"> </w:t>
      </w:r>
      <w:proofErr w:type="spellStart"/>
      <w:r w:rsidR="00D03ED3" w:rsidRPr="001F34A5">
        <w:rPr>
          <w:lang w:val="en-GB"/>
        </w:rPr>
        <w:t>Armington</w:t>
      </w:r>
      <w:proofErr w:type="spellEnd"/>
      <w:r w:rsidR="00D03ED3" w:rsidRPr="001F34A5">
        <w:rPr>
          <w:lang w:val="en-GB"/>
        </w:rPr>
        <w:t>-CES assumption</w:t>
      </w:r>
      <w:r w:rsidR="00983318" w:rsidRPr="001F34A5">
        <w:rPr>
          <w:lang w:val="en-GB"/>
        </w:rPr>
        <w:t xml:space="preserve"> </w:t>
      </w:r>
      <w:r w:rsidR="00DF455C">
        <w:rPr>
          <w:lang w:val="en-US"/>
        </w:rPr>
        <w:fldChar w:fldCharType="begin"/>
      </w:r>
      <w:r w:rsidR="00DF455C">
        <w:rPr>
          <w:lang w:val="en-US"/>
        </w:rPr>
        <w:instrText xml:space="preserve"> ADDIN ZOTERO_ITEM CSL_CITATION {"citationID":"a3JgXMpG","properties":{"formattedCitation":"(Yotov et al. 2016; Chatzilazarou and Dadakas 2023)","plainCitation":"(Yotov et al. 2016; Chatzilazarou and Dadakas 2023)","noteIndex":0},"citationItems":[{"id":194,"uris":["http://zotero.org/users/13839746/items/TR9BRTSS"],"itemData":{"id":194,"type":"book","ISBN":"978-92-870-4368-9","language":"en","note":"DOI: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DF455C">
        <w:rPr>
          <w:lang w:val="en-US"/>
        </w:rPr>
        <w:fldChar w:fldCharType="separate"/>
      </w:r>
      <w:r w:rsidR="00595013">
        <w:rPr>
          <w:lang w:val="en-US"/>
        </w:rPr>
        <w:t>(</w:t>
      </w:r>
      <w:proofErr w:type="spellStart"/>
      <w:r w:rsidR="00595013">
        <w:rPr>
          <w:lang w:val="en-US"/>
        </w:rPr>
        <w:t>Yotov</w:t>
      </w:r>
      <w:proofErr w:type="spellEnd"/>
      <w:r w:rsidR="00595013">
        <w:rPr>
          <w:lang w:val="en-US"/>
        </w:rPr>
        <w:t xml:space="preserve"> et al. 2016; </w:t>
      </w:r>
      <w:proofErr w:type="spellStart"/>
      <w:r w:rsidR="00595013">
        <w:rPr>
          <w:lang w:val="en-US"/>
        </w:rPr>
        <w:t>Chatzilazarou</w:t>
      </w:r>
      <w:proofErr w:type="spellEnd"/>
      <w:r w:rsidR="00595013">
        <w:rPr>
          <w:lang w:val="en-US"/>
        </w:rPr>
        <w:t xml:space="preserve"> and </w:t>
      </w:r>
      <w:proofErr w:type="spellStart"/>
      <w:r w:rsidR="00595013">
        <w:rPr>
          <w:lang w:val="en-US"/>
        </w:rPr>
        <w:t>Dadakas</w:t>
      </w:r>
      <w:proofErr w:type="spellEnd"/>
      <w:r w:rsidR="00595013">
        <w:rPr>
          <w:lang w:val="en-US"/>
        </w:rPr>
        <w:t xml:space="preserve"> 2023)</w:t>
      </w:r>
      <w:r w:rsidR="00DF455C">
        <w:rPr>
          <w:lang w:val="en-US"/>
        </w:rPr>
        <w:fldChar w:fldCharType="end"/>
      </w:r>
      <w:r w:rsidR="00256746" w:rsidRPr="001F34A5">
        <w:rPr>
          <w:lang w:val="en-GB"/>
        </w:rPr>
        <w:t xml:space="preserve">, which </w:t>
      </w:r>
      <w:r w:rsidR="00D24A03" w:rsidRPr="001F34A5">
        <w:rPr>
          <w:lang w:val="en-GB"/>
        </w:rPr>
        <w:t>led</w:t>
      </w:r>
      <w:r w:rsidR="00702515" w:rsidRPr="001F34A5">
        <w:rPr>
          <w:lang w:val="en-GB"/>
        </w:rPr>
        <w:t xml:space="preserve"> us</w:t>
      </w:r>
      <w:r w:rsidR="00D24A03" w:rsidRPr="001F34A5">
        <w:rPr>
          <w:lang w:val="en-GB"/>
        </w:rPr>
        <w:t xml:space="preserve"> to</w:t>
      </w:r>
      <w:r w:rsidR="00702515" w:rsidRPr="001F34A5">
        <w:rPr>
          <w:lang w:val="en-GB"/>
        </w:rPr>
        <w:t xml:space="preserve"> today’s generalized form of the gravity equation</w:t>
      </w:r>
      <w:r w:rsidR="00E64500" w:rsidRPr="001F34A5">
        <w:rPr>
          <w:lang w:val="en-GB"/>
        </w:rPr>
        <w:t xml:space="preserve">, </w:t>
      </w:r>
      <w:r w:rsidR="00D24A03" w:rsidRPr="001F34A5">
        <w:rPr>
          <w:lang w:val="en-GB"/>
        </w:rPr>
        <w:t xml:space="preserve">as developed </w:t>
      </w:r>
      <w:r w:rsidR="003815C7" w:rsidRPr="001F34A5">
        <w:rPr>
          <w:lang w:val="en-GB"/>
        </w:rPr>
        <w:t xml:space="preserve">and popularised </w:t>
      </w:r>
      <w:r w:rsidR="00D24A03" w:rsidRPr="001F34A5">
        <w:rPr>
          <w:lang w:val="en-GB"/>
        </w:rPr>
        <w:t xml:space="preserve">by Anderson and van </w:t>
      </w:r>
      <w:proofErr w:type="spellStart"/>
      <w:r w:rsidR="00D24A03" w:rsidRPr="001F34A5">
        <w:rPr>
          <w:lang w:val="en-GB"/>
        </w:rPr>
        <w:t>Wincoop</w:t>
      </w:r>
      <w:proofErr w:type="spellEnd"/>
      <w:r w:rsidR="00D24A03" w:rsidRPr="001F34A5">
        <w:rPr>
          <w:lang w:val="en-GB"/>
        </w:rPr>
        <w:t xml:space="preserve"> </w:t>
      </w:r>
      <w:r w:rsidR="00DF455C">
        <w:rPr>
          <w:lang w:val="en-GB"/>
        </w:rPr>
        <w:fldChar w:fldCharType="begin"/>
      </w:r>
      <w:r w:rsidR="00DF455C">
        <w:rPr>
          <w:lang w:val="en-GB"/>
        </w:rPr>
        <w:instrText xml:space="preserve"> ADDIN ZOTERO_ITEM CSL_CITATION {"citationID":"WY5ao1Fv","properties":{"formattedCitation":"(Anderson and van Wincoop 2003)","plainCitation":"(Anderson and van Wincoop 2003)","noteIndex":0},"citationItems":[{"id":253,"uris":["http://zotero.org/users/13839746/items/BRTAEV93"],"itemData":{"id":253,"type":"article-journal","abstract":"Gravity equations have been widely used to infer trade flow effects of various institutional arrangements. We show that estimated gravity equations do not have a theoretical foundation. This implies both that estimation suffers from omitted variables bias and that comparative statics analysis is unfounded. We develop a method that (i) consistently and efficiently estimates a theoretical gravity equation and (ii) correctly calculates the comparative statics of trade frictions. We apply the method to solve the famous McCallum border puzzle. Applying our method, we find that national borders reduce trade between industrialized countries by moderate amounts of 20-50 percent.","container-title":"The American Economic Review","ISSN":"0002-8282","issue":"1","note":"publisher: American Economic Association","page":"170-192","source":"JSTOR","title":"Gravity with Gravitas: A Solution to the Border Puzzle","title-short":"Gravity with Gravitas","volume":"93","author":[{"family":"Anderson","given":"James E."},{"family":"Wincoop","given":"Eric","non-dropping-particle":"van"}],"issued":{"date-parts":[["2003"]]}}}],"schema":"https://github.com/citation-style-language/schema/raw/master/csl-citation.json"} </w:instrText>
      </w:r>
      <w:r w:rsidR="00DF455C">
        <w:rPr>
          <w:lang w:val="en-GB"/>
        </w:rPr>
        <w:fldChar w:fldCharType="separate"/>
      </w:r>
      <w:r w:rsidR="00595013">
        <w:rPr>
          <w:noProof/>
          <w:lang w:val="en-GB"/>
        </w:rPr>
        <w:t>(Anderson and van Wincoop 2003)</w:t>
      </w:r>
      <w:r w:rsidR="00DF455C">
        <w:rPr>
          <w:lang w:val="en-GB"/>
        </w:rPr>
        <w:fldChar w:fldCharType="end"/>
      </w:r>
      <w:r w:rsidR="00FD47DA" w:rsidRPr="001F34A5">
        <w:rPr>
          <w:lang w:val="en-GB"/>
        </w:rPr>
        <w:t xml:space="preserve">. </w:t>
      </w:r>
    </w:p>
    <w:p w14:paraId="5250774D" w14:textId="77777777" w:rsidR="00D03ED3" w:rsidRPr="001F34A5" w:rsidRDefault="00D03ED3" w:rsidP="00E57218">
      <w:pPr>
        <w:jc w:val="both"/>
        <w:rPr>
          <w:lang w:val="en-GB"/>
        </w:rPr>
      </w:pPr>
    </w:p>
    <w:p w14:paraId="5B1FF733" w14:textId="0CFB9E05" w:rsidR="00AE23B2" w:rsidRPr="001F34A5" w:rsidRDefault="00AE23B2" w:rsidP="00AE23B2">
      <w:pPr>
        <w:rPr>
          <w:lang w:val="en-GB"/>
        </w:rPr>
      </w:pPr>
      <w:r w:rsidRPr="001F34A5">
        <w:rPr>
          <w:lang w:val="en-GB"/>
        </w:rPr>
        <w:t>Do I need to add more on the theory underlying the Gravity Models of Trade?</w:t>
      </w:r>
    </w:p>
    <w:p w14:paraId="5436923F" w14:textId="77777777" w:rsidR="00C01CB4" w:rsidRPr="001F34A5" w:rsidRDefault="00C01CB4" w:rsidP="00E57218">
      <w:pPr>
        <w:jc w:val="both"/>
        <w:rPr>
          <w:lang w:val="en-GB"/>
        </w:rPr>
      </w:pPr>
    </w:p>
    <w:p w14:paraId="64E1E621" w14:textId="456C8EF6" w:rsidR="009E1268" w:rsidRPr="001F34A5" w:rsidRDefault="00E93729" w:rsidP="00983318">
      <w:pPr>
        <w:jc w:val="both"/>
        <w:rPr>
          <w:lang w:val="en-GB"/>
        </w:rPr>
      </w:pPr>
      <w:r w:rsidRPr="001F34A5">
        <w:rPr>
          <w:lang w:val="en-GB"/>
        </w:rPr>
        <w:t>Equally important,</w:t>
      </w:r>
      <w:r w:rsidR="00083E63" w:rsidRPr="001F34A5">
        <w:rPr>
          <w:lang w:val="en-GB"/>
        </w:rPr>
        <w:t xml:space="preserve"> several empirical developments </w:t>
      </w:r>
      <w:r w:rsidR="00CB0677" w:rsidRPr="001F34A5">
        <w:rPr>
          <w:lang w:val="en-GB"/>
        </w:rPr>
        <w:t>have</w:t>
      </w:r>
      <w:r w:rsidR="00C62DBD" w:rsidRPr="001F34A5">
        <w:rPr>
          <w:lang w:val="en-GB"/>
        </w:rPr>
        <w:t xml:space="preserve"> strength</w:t>
      </w:r>
      <w:r w:rsidR="003A70EE" w:rsidRPr="001F34A5">
        <w:rPr>
          <w:lang w:val="en-GB"/>
        </w:rPr>
        <w:t>ened</w:t>
      </w:r>
      <w:r w:rsidR="00C62DBD" w:rsidRPr="001F34A5">
        <w:rPr>
          <w:lang w:val="en-GB"/>
        </w:rPr>
        <w:t xml:space="preserve"> the gravity </w:t>
      </w:r>
      <w:r w:rsidR="001578B9" w:rsidRPr="001F34A5">
        <w:rPr>
          <w:lang w:val="en-GB"/>
        </w:rPr>
        <w:t>model and</w:t>
      </w:r>
      <w:r w:rsidR="0095715A" w:rsidRPr="001F34A5">
        <w:rPr>
          <w:lang w:val="en-GB"/>
        </w:rPr>
        <w:t xml:space="preserve"> inform our </w:t>
      </w:r>
      <w:r w:rsidR="001578B9" w:rsidRPr="001F34A5">
        <w:rPr>
          <w:lang w:val="en-GB"/>
        </w:rPr>
        <w:t xml:space="preserve">choice of </w:t>
      </w:r>
      <w:r w:rsidR="0095715A" w:rsidRPr="001F34A5">
        <w:rPr>
          <w:lang w:val="en-GB"/>
        </w:rPr>
        <w:t>methodology</w:t>
      </w:r>
      <w:r w:rsidR="00514330" w:rsidRPr="001F34A5">
        <w:rPr>
          <w:lang w:val="en-GB"/>
        </w:rPr>
        <w:t>:</w:t>
      </w:r>
      <w:r w:rsidR="00C62DBD" w:rsidRPr="001F34A5">
        <w:rPr>
          <w:lang w:val="en-GB"/>
        </w:rPr>
        <w:t xml:space="preserve"> </w:t>
      </w:r>
      <w:r w:rsidR="0041214D" w:rsidRPr="001F34A5">
        <w:rPr>
          <w:lang w:val="en-GB"/>
        </w:rPr>
        <w:t>Exporter-time and importer-time fixed effects are used t</w:t>
      </w:r>
      <w:r w:rsidR="001578B9" w:rsidRPr="001F34A5">
        <w:rPr>
          <w:lang w:val="en-GB"/>
        </w:rPr>
        <w:t xml:space="preserve">o account for the multilateral resistance terms in a gravity estimation with panel data </w:t>
      </w:r>
      <w:r w:rsidR="00DF455C">
        <w:rPr>
          <w:lang w:val="en-GB"/>
        </w:rPr>
        <w:fldChar w:fldCharType="begin"/>
      </w:r>
      <w:r w:rsidR="00DF455C">
        <w:rPr>
          <w:lang w:val="en-GB"/>
        </w:rPr>
        <w:instrText xml:space="preserve"> ADDIN ZOTERO_ITEM CSL_CITATION {"citationID":"0Dqczn0F","properties":{"formattedCitation":"(Olivero and Yotov 2012)","plainCitation":"(Olivero and Yotov 2012)","noteIndex":0},"citationItems":[{"id":261,"uris":["http://zotero.org/users/13839746/items/RE5VLUSZ"],"itemData":{"id":261,"type":"article-journal","abstract":"Numerous gravity applications have resorted to panel data econometric techniques over the past decade. However, with the theory of gravity being so far only static, these estimations lack solid structural dynamic foundations. As a consequence, a consensus on a unified dynamic gravity estimation approach is yet to be reached. In this paper, (i) we build the theoretical foundations for a dynamic gravity model, (ii) we provide guidance for gravity-type estimations with panel data and we consider applications, and (iii) we calibrate and simulate our model to compare its properties with those of the standard, static gravity setup.","container-title":"Canadian Journal of Economics/Revue canadienne d'économique","DOI":"10.1111/j.1540-5982.2011.01687.x","ISSN":"1540-5982","issue":"1","language":"en","license":"© Canadian Economics Association","note":"_eprint: https://onlinelibrary.wiley.com/doi/pdf/10.1111/j.1540-5982.2011.01687.x","page":"64-92","source":"Wiley Online Library","title":"Dynamic gravity: endogenous country size and asset accumulation","title-short":"Dynamic gravity","volume":"45","author":[{"family":"Olivero","given":"María Pía"},{"family":"Yotov","given":"Yoto V."}],"issued":{"date-parts":[["2012"]]}}}],"schema":"https://github.com/citation-style-language/schema/raw/master/csl-citation.json"} </w:instrText>
      </w:r>
      <w:r w:rsidR="00DF455C">
        <w:rPr>
          <w:lang w:val="en-GB"/>
        </w:rPr>
        <w:fldChar w:fldCharType="separate"/>
      </w:r>
      <w:r w:rsidR="00595013">
        <w:rPr>
          <w:noProof/>
          <w:lang w:val="en-GB"/>
        </w:rPr>
        <w:t>(Olivero and Yotov 2012)</w:t>
      </w:r>
      <w:r w:rsidR="00DF455C">
        <w:rPr>
          <w:lang w:val="en-GB"/>
        </w:rPr>
        <w:fldChar w:fldCharType="end"/>
      </w:r>
      <w:r w:rsidR="00E050F3" w:rsidRPr="001F34A5">
        <w:rPr>
          <w:lang w:val="en-GB"/>
        </w:rPr>
        <w:t>;</w:t>
      </w:r>
      <w:r w:rsidR="001578B9" w:rsidRPr="001F34A5">
        <w:rPr>
          <w:lang w:val="en-GB"/>
        </w:rPr>
        <w:t xml:space="preserve"> </w:t>
      </w:r>
      <w:r w:rsidR="004C461E" w:rsidRPr="001F34A5">
        <w:rPr>
          <w:lang w:val="en-GB"/>
        </w:rPr>
        <w:t>As the gravity model is often estimated with an OSL estimator, zero-trade flows were dropped from the sample when trade was transformed into a logarithmic form. Also, trade data is recognized to suffer from heteroscedasticity</w:t>
      </w:r>
      <w:r w:rsidR="00983318" w:rsidRPr="001F34A5">
        <w:rPr>
          <w:lang w:val="en-GB"/>
        </w:rPr>
        <w:t xml:space="preserve"> </w:t>
      </w:r>
      <w:r w:rsidR="00DF455C">
        <w:rPr>
          <w:lang w:val="en-US"/>
        </w:rPr>
        <w:fldChar w:fldCharType="begin"/>
      </w:r>
      <w:r w:rsidR="00DF455C">
        <w:rPr>
          <w:lang w:val="en-US"/>
        </w:rPr>
        <w:instrText xml:space="preserve"> ADDIN ZOTERO_ITEM CSL_CITATION {"citationID":"yOX4x69A","properties":{"formattedCitation":"(Yotov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w:t>
      </w:r>
      <w:proofErr w:type="spellStart"/>
      <w:r w:rsidR="00595013">
        <w:rPr>
          <w:lang w:val="en-US"/>
        </w:rPr>
        <w:t>Yotov</w:t>
      </w:r>
      <w:proofErr w:type="spellEnd"/>
      <w:r w:rsidR="00595013">
        <w:rPr>
          <w:lang w:val="en-US"/>
        </w:rPr>
        <w:t xml:space="preserve"> et al. 2016)</w:t>
      </w:r>
      <w:r w:rsidR="00DF455C">
        <w:rPr>
          <w:lang w:val="en-US"/>
        </w:rPr>
        <w:fldChar w:fldCharType="end"/>
      </w:r>
      <w:r w:rsidR="004C461E" w:rsidRPr="001F34A5">
        <w:rPr>
          <w:lang w:val="en-GB"/>
        </w:rPr>
        <w:t>. To solve for zero-trade flows</w:t>
      </w:r>
      <w:r w:rsidR="00983318" w:rsidRPr="001F34A5">
        <w:rPr>
          <w:lang w:val="en-GB"/>
        </w:rPr>
        <w:t xml:space="preserve"> and heteroscedasticity, the Poisson Pseudo Maximum Likelihood (PPML) estimator has been proposed to estimate the gravity model</w:t>
      </w:r>
      <w:r w:rsidR="00DF3FEB" w:rsidRPr="001F34A5">
        <w:rPr>
          <w:lang w:val="en-GB"/>
        </w:rPr>
        <w:t>, avoiding potential biases</w:t>
      </w:r>
      <w:r w:rsidR="001C443A" w:rsidRPr="001F34A5">
        <w:rPr>
          <w:lang w:val="en-GB"/>
        </w:rPr>
        <w:t xml:space="preserve"> </w:t>
      </w:r>
      <w:r w:rsidR="00DF455C">
        <w:rPr>
          <w:lang w:val="en-GB"/>
        </w:rPr>
        <w:fldChar w:fldCharType="begin"/>
      </w:r>
      <w:r w:rsidR="00DF455C">
        <w:rPr>
          <w:lang w:val="en-GB"/>
        </w:rPr>
        <w:instrText xml:space="preserve"> ADDIN ZOTERO_ITEM CSL_CITATION {"citationID":"g0PBEUhr","properties":{"formattedCitation":"(Silva and Tenreyro 2006; Santos Silva and Tenreyro 2011)","plainCitation":"(Silva and Tenreyro 2006; Santos Silva and Tenreyro 2011)","noteIndex":0},"citationItems":[{"id":242,"uris":["http://zotero.org/users/13839746/items/XM3TTKYE"],"itemData":{"id":242,"type":"article-journal","abstract":"Although economists have long been aware of Jensen's in-equality, many econometric applications have neglected an important implication of it: under heteroskedasticity, the parameters of log-linearized models estimated by OLS lead to biased estimates of the true elasticities. We explain why this problem arises and propose an appropriate estimator. Our criticism of conventional practices and the proposed solution extend to a broad range of applications where log-linearized equations are estimated. We develop the argument using one particular illustration, the gravity equation for trade. We find significant differences between estimates obtained with the proposed estimator and those obtained with the traditional method.","container-title":"The Review of Economics and Statistics","ISSN":"0034-6535","issue":"4","note":"publisher: The MIT Press","page":"641-658","source":"JSTOR","title":"The Log of Gravity","volume":"88","author":[{"family":"Silva","given":"J. M. C. Santos"},{"family":"Tenreyro","given":"Silvana"}],"issued":{"date-parts":[["2006"]]}}},{"id":244,"uris":["http://zotero.org/users/13839746/items/AWZMKKSB"],"itemData":{"id":244,"type":"article-journal","abstract":"We extend the simulation results in Santos Silva and Tenreyro (2006, The log of gravity, The Review of Economics and Statistics, 88, 641–658) by considering a novel data-generating process. Our results confirm that the Poisson pseudo-maximum likelihood estimator is generally well behaved, even when the proportion of zeros in the sample is very large.","container-title":"Economics Letters","DOI":"10.1016/j.econlet.2011.05.008","ISSN":"0165-1765","issue":"2","journalAbbreviation":"Economics Letters","page":"220-222","source":"ScienceDirect","title":"Further simulation evidence on the performance of the Poisson pseudo-maximum likelihood estimator","volume":"112","author":[{"family":"Santos Silva","given":"J. M. C."},{"family":"Tenreyro","given":"Silvana"}],"issued":{"date-parts":[["2011",8,1]]}}}],"schema":"https://github.com/citation-style-language/schema/raw/master/csl-citation.json"} </w:instrText>
      </w:r>
      <w:r w:rsidR="00DF455C">
        <w:rPr>
          <w:lang w:val="en-GB"/>
        </w:rPr>
        <w:fldChar w:fldCharType="separate"/>
      </w:r>
      <w:r w:rsidR="00595013">
        <w:rPr>
          <w:noProof/>
          <w:lang w:val="en-GB"/>
        </w:rPr>
        <w:t>(Silva and Tenreyro 2006; Santos Silva and Tenreyro 2011)</w:t>
      </w:r>
      <w:r w:rsidR="00DF455C">
        <w:rPr>
          <w:lang w:val="en-GB"/>
        </w:rPr>
        <w:fldChar w:fldCharType="end"/>
      </w:r>
      <w:r w:rsidR="00E050F3" w:rsidRPr="001F34A5">
        <w:rPr>
          <w:lang w:val="en-GB"/>
        </w:rPr>
        <w:t>;</w:t>
      </w:r>
      <w:r w:rsidR="002353E3" w:rsidRPr="001F34A5">
        <w:rPr>
          <w:lang w:val="en-GB"/>
        </w:rPr>
        <w:t xml:space="preserve"> Country-pair fixed effects has been proposed to account for the unobserved endogeneity of trade policy </w:t>
      </w:r>
      <w:r w:rsidR="00DF455C">
        <w:rPr>
          <w:lang w:val="en-GB"/>
        </w:rPr>
        <w:fldChar w:fldCharType="begin"/>
      </w:r>
      <w:r w:rsidR="00DF455C">
        <w:rPr>
          <w:lang w:val="en-GB"/>
        </w:rPr>
        <w:instrText xml:space="preserve"> ADDIN ZOTERO_ITEM CSL_CITATION {"citationID":"KB7HQQap","properties":{"formattedCitation":"(Baier and Bergstrand 2007)","plainCitation":"(Baier and Bergstrand 2007)","noteIndex":0},"citationItems":[{"id":232,"uris":["http://zotero.org/users/13839746/items/BL77KKLZ"],"itemData":{"id":232,"type":"article-journal","abstract":"For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H."}],"issued":{"date-parts":[["2007",3,8]]}}}],"schema":"https://github.com/citation-style-language/schema/raw/master/csl-citation.json"} </w:instrText>
      </w:r>
      <w:r w:rsidR="00DF455C">
        <w:rPr>
          <w:lang w:val="en-GB"/>
        </w:rPr>
        <w:fldChar w:fldCharType="separate"/>
      </w:r>
      <w:r w:rsidR="00595013">
        <w:rPr>
          <w:noProof/>
          <w:lang w:val="en-GB"/>
        </w:rPr>
        <w:t>(Baier and Bergstrand 2007)</w:t>
      </w:r>
      <w:r w:rsidR="00DF455C">
        <w:rPr>
          <w:lang w:val="en-GB"/>
        </w:rPr>
        <w:fldChar w:fldCharType="end"/>
      </w:r>
      <w:r w:rsidR="002353E3" w:rsidRPr="001F34A5">
        <w:rPr>
          <w:lang w:val="en-GB"/>
        </w:rPr>
        <w:t>. It is worth nothing that the inclusion of exporter-time and importer-time fixed effects</w:t>
      </w:r>
      <w:r w:rsidR="009E1268" w:rsidRPr="001F34A5">
        <w:rPr>
          <w:lang w:val="en-GB"/>
        </w:rPr>
        <w:t xml:space="preserve"> will absorb all observable and unobservable time-varying country-specific characteristics that could affect the dependent variable, while the country-pair fixed effects</w:t>
      </w:r>
      <w:r w:rsidR="002353E3" w:rsidRPr="001F34A5">
        <w:rPr>
          <w:lang w:val="en-GB"/>
        </w:rPr>
        <w:t xml:space="preserve"> will absorb </w:t>
      </w:r>
      <w:r w:rsidR="009E1268" w:rsidRPr="001F34A5">
        <w:rPr>
          <w:lang w:val="en-GB"/>
        </w:rPr>
        <w:t>observable and unobservable</w:t>
      </w:r>
      <w:r w:rsidR="002353E3" w:rsidRPr="001F34A5">
        <w:rPr>
          <w:lang w:val="en-GB"/>
        </w:rPr>
        <w:t xml:space="preserve"> bilateral</w:t>
      </w:r>
      <w:r w:rsidR="009E1268" w:rsidRPr="001F34A5">
        <w:rPr>
          <w:lang w:val="en-GB"/>
        </w:rPr>
        <w:t xml:space="preserve"> time-invariant characteristics</w:t>
      </w:r>
      <w:r w:rsidR="00AB0C90" w:rsidRPr="001F34A5">
        <w:rPr>
          <w:lang w:val="en-GB"/>
        </w:rPr>
        <w:t xml:space="preserve"> that could affect trade costs</w:t>
      </w:r>
      <w:r w:rsidR="00E050F3" w:rsidRPr="001F34A5">
        <w:rPr>
          <w:lang w:val="en-GB"/>
        </w:rPr>
        <w:t>;</w:t>
      </w:r>
      <w:r w:rsidR="005A55C7" w:rsidRPr="001F34A5">
        <w:rPr>
          <w:lang w:val="en-GB"/>
        </w:rPr>
        <w:t xml:space="preserve"> </w:t>
      </w:r>
      <w:r w:rsidR="000971F4" w:rsidRPr="001F34A5">
        <w:rPr>
          <w:lang w:val="en-GB"/>
        </w:rPr>
        <w:t xml:space="preserve">The inclusion of intra-trade flows as well as international trade flows is proposed to correctly estimate the effects of non-discriminatory </w:t>
      </w:r>
      <w:r w:rsidR="000971F4" w:rsidRPr="001F34A5">
        <w:rPr>
          <w:lang w:val="en-GB"/>
        </w:rPr>
        <w:lastRenderedPageBreak/>
        <w:t xml:space="preserve">trade policy, allowing for consumers to choose products from both international and domestic sources </w:t>
      </w:r>
      <w:r w:rsidR="00DF455C">
        <w:rPr>
          <w:lang w:val="en-GB"/>
        </w:rPr>
        <w:fldChar w:fldCharType="begin"/>
      </w:r>
      <w:r w:rsidR="00DF455C">
        <w:rPr>
          <w:lang w:val="en-GB"/>
        </w:rPr>
        <w:instrText xml:space="preserve"> ADDIN ZOTERO_ITEM CSL_CITATION {"citationID":"xeTyzcFJ","properties":{"formattedCitation":"(Dai, Yotov, and Zylkin 2014; Heid, Larch, and Yotov 2017)","plainCitation":"(Dai, Yotov, and Zylkin 2014; Heid, Larch, and Yotov 2017)","noteIndex":0},"citationItems":[{"id":273,"uris":["http://zotero.org/users/13839746/items/MFIGNNC4"],"itemData":{"id":273,"type":"article-journal","abstract":"Trade-diversion effects of free trade agreements (FTAs) have not been thoroughly examined empirically. Using a novel empirical approach, we confirm that FTAs divert trade away from non-member countries and even more so from internal trade (domestic sales) in member countries.","container-title":"Economics Letters","DOI":"10.1016/j.econlet.2013.12.024","ISSN":"0165-1765","issue":"2","journalAbbreviation":"Economics Letters","page":"321-325","source":"ScienceDirect","title":"On the trade-diversion effects of free trade agreements","volume":"122","author":[{"family":"Dai","given":"Mian"},{"family":"Yotov","given":"Yoto V."},{"family":"Zylkin","given":"Thomas"}],"issued":{"date-parts":[["2014",2,1]]}}},{"id":267,"uris":["http://zotero.org/users/13839746/items/WLEIJS7L"],"itemData":{"id":267,"type":"article","abstract":"We propose a simple method to identify the effects of unilateral and non-discriminatory trade policies on bilateral trade within a theoretically-consistent empirical gravity model. Specifically, we argue that structural gravity estimations should be performed with data that include not only international trade flows but also intra-national trade flows. The use of intra-national sales allows identification of the effects of non-discriminatory trade policies on the importer side (e.g. most favored nation tariffs) and on the exporter side (e.g. export subsidies), even in the presence of exporter and importer fixed effects. An important byproduct of our approach is that it can be used to recover estimates of the export-supply elasticity and of the import-demand elasticity. We demonstrate the effectiveness of our techniques in the case of MFN tariffs and \"Time to Export\" as representative determinants of trade on the importer and on the exporter side, respectively. Our methods can be extended to quantify the impact on trade of any country-specific characteristics as well as any non-trade policies.","DOI":"10.2139/ssrn.3100014","event-place":"Rochester, NY","genre":"SSRN Scholarly Paper","language":"en","number":"3100014","publisher-place":"Rochester, NY","source":"Social Science Research Network","title":"Estimating the Effects of Non-Discriminatory Trade Policies within Structural Gravity Models","URL":"https://papers.ssrn.com/abstract=3100014","author":[{"family":"Heid","given":"Benedikt"},{"family":"Larch","given":"Mario"},{"family":"Yotov","given":"Yoto V."}],"accessed":{"date-parts":[["2024",8,7]]},"issued":{"date-parts":[["2017",11,16]]}}}],"schema":"https://github.com/citation-style-language/schema/raw/master/csl-citation.json"} </w:instrText>
      </w:r>
      <w:r w:rsidR="00DF455C">
        <w:rPr>
          <w:lang w:val="en-GB"/>
        </w:rPr>
        <w:fldChar w:fldCharType="separate"/>
      </w:r>
      <w:r w:rsidR="00595013">
        <w:rPr>
          <w:noProof/>
          <w:lang w:val="en-GB"/>
        </w:rPr>
        <w:t>(Dai, Yotov, and Zylkin 2014; Heid, Larch, and Yotov 2017)</w:t>
      </w:r>
      <w:r w:rsidR="00DF455C">
        <w:rPr>
          <w:lang w:val="en-GB"/>
        </w:rPr>
        <w:fldChar w:fldCharType="end"/>
      </w:r>
      <w:r w:rsidR="00E050F3" w:rsidRPr="001F34A5">
        <w:rPr>
          <w:lang w:val="en-GB"/>
        </w:rPr>
        <w:t xml:space="preserve">; </w:t>
      </w:r>
      <w:r w:rsidR="003A3CBC" w:rsidRPr="001F34A5">
        <w:rPr>
          <w:lang w:val="en-GB"/>
        </w:rPr>
        <w:t>Y</w:t>
      </w:r>
      <w:r w:rsidR="003D712F" w:rsidRPr="001F34A5">
        <w:rPr>
          <w:lang w:val="en-GB"/>
        </w:rPr>
        <w:t xml:space="preserve">ear-intervals instead of data pooled over consecutive years should be used to allow for adjustment of trade flows to policies that might not have immediate effects </w:t>
      </w:r>
      <w:r w:rsidR="00DF455C">
        <w:rPr>
          <w:lang w:val="en-GB"/>
        </w:rPr>
        <w:fldChar w:fldCharType="begin"/>
      </w:r>
      <w:r w:rsidR="00DF455C">
        <w:rPr>
          <w:lang w:val="en-GB"/>
        </w:rPr>
        <w:instrText xml:space="preserve"> ADDIN ZOTERO_ITEM CSL_CITATION {"citationID":"XkWzhbrT","properties":{"formattedCitation":"(Baier and Bergstrand 2007; Anderson and Yotov 2016)","plainCitation":"(Baier and Bergstrand 2007; Anderson and Yotov 2016)","noteIndex":0},"citationItems":[{"id":232,"uris":["http://zotero.org/users/13839746/items/BL77KKLZ"],"itemData":{"id":232,"type":"article-journal","abstract":"For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DF455C">
        <w:rPr>
          <w:lang w:val="en-GB"/>
        </w:rPr>
        <w:fldChar w:fldCharType="separate"/>
      </w:r>
      <w:r w:rsidR="00595013">
        <w:rPr>
          <w:noProof/>
          <w:lang w:val="en-GB"/>
        </w:rPr>
        <w:t>(Baier and Bergstrand 2007; Anderson and Yotov 2016)</w:t>
      </w:r>
      <w:r w:rsidR="00DF455C">
        <w:rPr>
          <w:lang w:val="en-GB"/>
        </w:rPr>
        <w:fldChar w:fldCharType="end"/>
      </w:r>
      <w:r w:rsidR="003A3CBC" w:rsidRPr="001F34A5">
        <w:rPr>
          <w:lang w:val="en-GB"/>
        </w:rPr>
        <w:t>; And finally, to account for the effects of globalization forces that may biased the estimates of trade policies, a set of globalization dummies are recommended to control for the effects of globalization in the gravity model</w:t>
      </w:r>
      <w:r w:rsidR="007C65C1" w:rsidRPr="001F34A5">
        <w:rPr>
          <w:lang w:val="en-GB"/>
        </w:rPr>
        <w:t xml:space="preserve"> </w:t>
      </w:r>
      <w:r w:rsidR="00DF455C">
        <w:rPr>
          <w:lang w:val="en-GB"/>
        </w:rPr>
        <w:fldChar w:fldCharType="begin"/>
      </w:r>
      <w:r w:rsidR="00DF455C">
        <w:rPr>
          <w:lang w:val="en-GB"/>
        </w:rPr>
        <w:instrText xml:space="preserve"> ADDIN ZOTERO_ITEM CSL_CITATION {"citationID":"qzQ1XlV6","properties":{"formattedCitation":"(Yotov 2012; Bergstrand, Larch, and Yotov 2015)","plainCitation":"(Yotov 2012; Bergstrand, Larch, and Yotov 2015)","noteIndex":0},"citationItems":[{"id":271,"uris":["http://zotero.org/users/13839746/items/UY58CB3M"],"itemData":{"id":271,"type":"article-journal","abstract":"I propose a simple solution to the distance puzzle in international trade. Contrary to existing estimates of persistent or increasing distance effects on trade, I offer robust evidence that the impact of distance on trade has fallen steadily over time.","container-title":"Economics Letters","DOI":"10.1016/j.econlet.2012.08.032","ISSN":"0165-1765","issue":"3","journalAbbreviation":"Economics Letters","page":"794-798","source":"ScienceDirect","title":"A simple solution to the distance puzzle in international trade","volume":"117","author":[{"family":"Yotov","given":"Yoto V."}],"issued":{"date-parts":[["2012",12,1]]}}},{"id":238,"uris":["http://zotero.org/users/13839746/items/VF28CZJB"],"itemData":{"id":238,"type":"article-journal","abstract":"Using a novel common econometric specification, we examine the measurement of three important effects in international trade that historically have been addressed largely separately: the (partial) effects on trade of economic integration agreements, international borders, and bilateral distance. First, recent studies focusing on precise and unbiased estimates of effects of economic integration agreements (EIAs) on members׳ trade may be biased upward owing to inadequate control for time-varying exogenous unobservable country-pair-specific changes in bilateral export costs (possibly decreasing the costs of international relative to intranational trade); we find evidence of this bias using a properly specified gravity equation. Second, our novel methodology yields statistically significant estimates of the declining effect of “international borders” on world trade, now accounting for endogenous EIA formations and unobserved country-pair heterogeneity in initial levels. Third, we confirm recent evidence providing a solution to the “distance-elasticity puzzle,” but show that these estimates of the declining effect of distance on international trade are biased upward by not accounting for endogenous EIA formations and unobserved country-pair heterogeneity. We conclude our study with numerical general equilibrium comparative statics illustrating a substantive difference on trade effects of EIAs with and without allowance for the declining effects of international borders on world trade.","container-title":"European Economic Review","DOI":"10.1016/j.euroecorev.2015.06.003","ISSN":"0014-2921","journalAbbreviation":"European Economic Review","page":"307-327","source":"ScienceDirect","title":"Economic integration agreements, border effects, and distance elasticities in the gravity equation","volume":"78","author":[{"family":"Bergstrand","given":"Jeffrey H."},{"family":"Larch","given":"Mario"},{"family":"Yotov","given":"Yoto V."}],"issued":{"date-parts":[["2015",8,1]]}}}],"schema":"https://github.com/citation-style-language/schema/raw/master/csl-citation.json"} </w:instrText>
      </w:r>
      <w:r w:rsidR="00DF455C">
        <w:rPr>
          <w:lang w:val="en-GB"/>
        </w:rPr>
        <w:fldChar w:fldCharType="separate"/>
      </w:r>
      <w:r w:rsidR="00595013">
        <w:rPr>
          <w:noProof/>
          <w:lang w:val="en-GB"/>
        </w:rPr>
        <w:t>(Yotov 2012; Bergstrand, Larch, and Yotov 2015)</w:t>
      </w:r>
      <w:r w:rsidR="00DF455C">
        <w:rPr>
          <w:lang w:val="en-GB"/>
        </w:rPr>
        <w:fldChar w:fldCharType="end"/>
      </w:r>
      <w:r w:rsidR="007C65C1" w:rsidRPr="001F34A5">
        <w:rPr>
          <w:lang w:val="en-GB"/>
        </w:rPr>
        <w:t>.</w:t>
      </w:r>
      <w:r w:rsidR="00843359" w:rsidRPr="001F34A5">
        <w:rPr>
          <w:lang w:val="en-GB"/>
        </w:rPr>
        <w:t xml:space="preserve"> </w:t>
      </w:r>
      <w:r w:rsidR="003A3CBC" w:rsidRPr="001F34A5">
        <w:rPr>
          <w:lang w:val="en-GB"/>
        </w:rPr>
        <w:t>Based on</w:t>
      </w:r>
      <w:r w:rsidR="008C3834" w:rsidRPr="001F34A5">
        <w:rPr>
          <w:lang w:val="en-GB"/>
        </w:rPr>
        <w:t xml:space="preserve"> the </w:t>
      </w:r>
      <w:r w:rsidR="003A3CBC" w:rsidRPr="001F34A5">
        <w:rPr>
          <w:lang w:val="en-GB"/>
        </w:rPr>
        <w:t>theoretical and empirical best-practices found in the relevant literature, we employ the following gravity equation</w:t>
      </w:r>
      <w:r w:rsidR="00843359" w:rsidRPr="001F34A5">
        <w:rPr>
          <w:lang w:val="en-GB"/>
        </w:rPr>
        <w:t xml:space="preserve"> </w:t>
      </w:r>
      <w:r w:rsidR="00E02217" w:rsidRPr="001F34A5">
        <w:rPr>
          <w:lang w:val="en-GB"/>
        </w:rPr>
        <w:t xml:space="preserve">using a PPML estimator </w:t>
      </w:r>
      <w:r w:rsidR="003765FB" w:rsidRPr="001F34A5">
        <w:rPr>
          <w:lang w:val="en-GB"/>
        </w:rPr>
        <w:t xml:space="preserve">and a balanced panel data approach </w:t>
      </w:r>
      <w:r w:rsidR="00BC3389" w:rsidRPr="001F34A5">
        <w:rPr>
          <w:lang w:val="en-GB"/>
        </w:rPr>
        <w:t xml:space="preserve">with multiple exporters, multiple importers and time </w:t>
      </w:r>
      <w:r w:rsidR="00843359" w:rsidRPr="001F34A5">
        <w:rPr>
          <w:lang w:val="en-GB"/>
        </w:rPr>
        <w:t>as our benchmark</w:t>
      </w:r>
      <w:r w:rsidR="00541393" w:rsidRPr="001F34A5">
        <w:rPr>
          <w:lang w:val="en-GB"/>
        </w:rPr>
        <w:t xml:space="preserve"> model</w:t>
      </w:r>
      <w:r w:rsidR="003A3CBC" w:rsidRPr="001F34A5">
        <w:rPr>
          <w:lang w:val="en-GB"/>
        </w:rPr>
        <w:t>:</w:t>
      </w:r>
    </w:p>
    <w:p w14:paraId="780DFE81" w14:textId="77777777" w:rsidR="003A0806" w:rsidRPr="001F34A5" w:rsidRDefault="003A0806" w:rsidP="00E57218">
      <w:pPr>
        <w:jc w:val="both"/>
        <w:rPr>
          <w:lang w:val="en-GB"/>
        </w:rPr>
      </w:pPr>
    </w:p>
    <w:p w14:paraId="2F586045" w14:textId="2512DA70" w:rsidR="002E2BBE" w:rsidRPr="001F34A5" w:rsidRDefault="001F34A5" w:rsidP="002E2BBE">
      <w:pPr>
        <w:rPr>
          <w:lang w:val="en-GB"/>
        </w:rPr>
      </w:pPr>
      <m:oMathPara>
        <m:oMath>
          <m:r>
            <w:rPr>
              <w:rFonts w:ascii="Cambria Math" w:hAnsi="Cambria Math"/>
              <w:lang w:val="en-GB"/>
            </w:rPr>
            <m:t xml:space="preserve">(1)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7643447" w14:textId="77777777" w:rsidR="003A0806" w:rsidRPr="001F34A5" w:rsidRDefault="003A0806" w:rsidP="00E57218">
      <w:pPr>
        <w:jc w:val="both"/>
      </w:pPr>
    </w:p>
    <w:p w14:paraId="6339370E" w14:textId="2865B9B7" w:rsidR="00B60210" w:rsidRPr="001F34A5" w:rsidRDefault="002E2BBE" w:rsidP="00B60210">
      <w:pPr>
        <w:jc w:val="both"/>
        <w:rPr>
          <w:lang w:val="en-GB"/>
        </w:rPr>
      </w:pPr>
      <w:r w:rsidRPr="001F34A5">
        <w:rPr>
          <w:lang w:val="en-GB"/>
        </w:rPr>
        <w:t xml:space="preserve">Where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oMath>
      <w:r w:rsidRPr="001F34A5">
        <w:rPr>
          <w:rFonts w:eastAsiaTheme="minorEastAsia"/>
          <w:lang w:val="en-GB"/>
        </w:rPr>
        <w:t xml:space="preserve"> </w:t>
      </w:r>
      <w:r w:rsidRPr="001F34A5">
        <w:t xml:space="preserve">denotes the value of exports from an origin country </w:t>
      </w:r>
      <m:oMath>
        <m:r>
          <w:rPr>
            <w:rFonts w:ascii="Cambria Math" w:hAnsi="Cambria Math"/>
          </w:rPr>
          <m:t>i</m:t>
        </m:r>
      </m:oMath>
      <w:r w:rsidR="003D0AD0" w:rsidRPr="001F34A5">
        <w:t xml:space="preserve"> </w:t>
      </w:r>
      <w:r w:rsidRPr="001F34A5">
        <w:t>to a destination country</w:t>
      </w:r>
      <w:r w:rsidR="003D0AD0" w:rsidRPr="001F34A5">
        <w:t xml:space="preserve"> </w:t>
      </w:r>
      <m:oMath>
        <m:r>
          <w:rPr>
            <w:rFonts w:ascii="Cambria Math" w:hAnsi="Cambria Math"/>
          </w:rPr>
          <m:t>j</m:t>
        </m:r>
      </m:oMath>
      <w:r w:rsidR="003D0AD0" w:rsidRPr="001F34A5">
        <w:t xml:space="preserve">;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oMath>
      <w:r w:rsidR="0033656E" w:rsidRPr="001F34A5">
        <w:rPr>
          <w:lang w:val="en-GB"/>
        </w:rPr>
        <w:t xml:space="preserve"> and  </w:t>
      </w:r>
      <m:oMath>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oMath>
      <w:r w:rsidR="0033656E" w:rsidRPr="001F34A5">
        <w:rPr>
          <w:lang w:val="en-GB"/>
        </w:rPr>
        <w:t xml:space="preserve"> </w:t>
      </w:r>
      <w:r w:rsidR="0033656E" w:rsidRPr="001F34A5">
        <w:t xml:space="preserve">are, respectively, exporter-time and importer-time fixed-effects;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0033656E" w:rsidRPr="001F34A5">
        <w:rPr>
          <w:lang w:val="en-GB"/>
        </w:rPr>
        <w:t xml:space="preserve"> </w:t>
      </w:r>
      <w:r w:rsidR="0033656E" w:rsidRPr="001F34A5">
        <w:t>is a country-pair fixed-</w:t>
      </w:r>
      <w:r w:rsidR="00E25819" w:rsidRPr="001F34A5">
        <w:t>effect;</w:t>
      </w:r>
      <w:r w:rsidR="0033656E" w:rsidRPr="001F34A5">
        <w:t xml:space="preserve">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oMath>
      <w:r w:rsidR="0033656E" w:rsidRPr="001F34A5">
        <w:t xml:space="preserve"> </w:t>
      </w:r>
      <w:r w:rsidR="0033656E" w:rsidRPr="001F34A5">
        <w:rPr>
          <w:lang w:val="en-GB"/>
        </w:rPr>
        <w:t xml:space="preserve">and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oMath>
      <w:r w:rsidR="0033656E" w:rsidRPr="001F34A5">
        <w:rPr>
          <w:lang w:val="en-GB"/>
        </w:rPr>
        <w:t xml:space="preserve"> are our main variables of interest, which, respectively indicate if </w:t>
      </w:r>
      <m:oMath>
        <m:r>
          <w:rPr>
            <w:rFonts w:ascii="Cambria Math" w:hAnsi="Cambria Math"/>
          </w:rPr>
          <m:t>i</m:t>
        </m:r>
      </m:oMath>
      <w:r w:rsidR="0033656E" w:rsidRPr="001F34A5">
        <w:t xml:space="preserve"> and </w:t>
      </w:r>
      <m:oMath>
        <m:r>
          <w:rPr>
            <w:rFonts w:ascii="Cambria Math" w:hAnsi="Cambria Math"/>
          </w:rPr>
          <m:t>j</m:t>
        </m:r>
      </m:oMath>
      <w:r w:rsidR="0033656E" w:rsidRPr="001F34A5">
        <w:rPr>
          <w:rFonts w:eastAsiaTheme="minorEastAsia"/>
        </w:rPr>
        <w:t xml:space="preserve"> are members of a PTA at time </w:t>
      </w:r>
      <m:oMath>
        <m:r>
          <w:rPr>
            <w:rFonts w:ascii="Cambria Math" w:eastAsiaTheme="minorEastAsia" w:hAnsi="Cambria Math"/>
          </w:rPr>
          <m:t>t</m:t>
        </m:r>
      </m:oMath>
      <w:r w:rsidR="0033656E" w:rsidRPr="001F34A5">
        <w:rPr>
          <w:rFonts w:eastAsiaTheme="minorEastAsia"/>
        </w:rPr>
        <w:t xml:space="preserve"> and, to account for potential “phase-in” effects </w:t>
      </w:r>
      <w:r w:rsidR="00506386" w:rsidRPr="001F34A5">
        <w:rPr>
          <w:rFonts w:eastAsiaTheme="minorEastAsia"/>
        </w:rPr>
        <w:t xml:space="preserve">over time </w:t>
      </w:r>
      <w:r w:rsidR="0033656E" w:rsidRPr="001F34A5">
        <w:rPr>
          <w:rFonts w:eastAsiaTheme="minorEastAsia"/>
        </w:rPr>
        <w:t xml:space="preserve">of the PTA,  at time </w:t>
      </w:r>
      <m:oMath>
        <m:r>
          <w:rPr>
            <w:rFonts w:ascii="Cambria Math" w:hAnsi="Cambria Math"/>
          </w:rPr>
          <m:t>t-5</m:t>
        </m:r>
      </m:oMath>
      <w:r w:rsidR="0033656E" w:rsidRPr="001F34A5">
        <w:t>;</w:t>
      </w:r>
      <w:r w:rsidR="00B60210" w:rsidRPr="001F34A5">
        <w:t xml:space="preserve"> </w:t>
      </w:r>
      <m:oMath>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oMath>
      <w:r w:rsidR="00B60210" w:rsidRPr="001F34A5">
        <w:rPr>
          <w:lang w:val="en-GB"/>
        </w:rPr>
        <w:t xml:space="preserve"> </w:t>
      </w:r>
      <w:r w:rsidR="00B60210" w:rsidRPr="001F34A5">
        <w:t>is a set of dummies that equal 1 for international trade and 0 for domestic trade observations at each time</w:t>
      </w:r>
      <w:r w:rsidR="00B60210" w:rsidRPr="001F34A5">
        <w:rPr>
          <w:rFonts w:eastAsiaTheme="minorEastAsia"/>
        </w:rPr>
        <w:t xml:space="preserve"> </w:t>
      </w:r>
      <m:oMath>
        <m:r>
          <w:rPr>
            <w:rFonts w:ascii="Cambria Math" w:eastAsiaTheme="minorEastAsia" w:hAnsi="Cambria Math"/>
          </w:rPr>
          <m:t>t</m:t>
        </m:r>
      </m:oMath>
      <w:r w:rsidR="0094481A" w:rsidRPr="001F34A5">
        <w:rPr>
          <w:rFonts w:eastAsiaTheme="minorEastAsia"/>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w:r w:rsidR="0094481A" w:rsidRPr="001F34A5">
        <w:rPr>
          <w:rFonts w:eastAsiaTheme="minorEastAsia"/>
          <w:lang w:val="en-GB"/>
        </w:rPr>
        <w:t xml:space="preserve"> </w:t>
      </w:r>
      <w:r w:rsidR="0094481A" w:rsidRPr="001F34A5">
        <w:rPr>
          <w:rFonts w:eastAsiaTheme="minorEastAsia"/>
        </w:rPr>
        <w:t>is an error term</w:t>
      </w:r>
      <w:r w:rsidR="00B60210" w:rsidRPr="001F34A5">
        <w:t xml:space="preserve">. </w:t>
      </w:r>
    </w:p>
    <w:p w14:paraId="6176EA10" w14:textId="77777777" w:rsidR="0033656E" w:rsidRPr="001F34A5" w:rsidRDefault="0033656E" w:rsidP="0033656E">
      <w:pPr>
        <w:jc w:val="both"/>
      </w:pPr>
    </w:p>
    <w:p w14:paraId="7C3C223D" w14:textId="0E7C2C72" w:rsidR="00C14216" w:rsidRPr="001F34A5" w:rsidRDefault="0094481A" w:rsidP="000F6E05">
      <w:pPr>
        <w:jc w:val="both"/>
        <w:rPr>
          <w:lang w:val="en-GB"/>
        </w:rPr>
      </w:pPr>
      <w:r w:rsidRPr="001F34A5">
        <w:rPr>
          <w:lang w:val="en-GB"/>
        </w:rPr>
        <w:t xml:space="preserve">In </w:t>
      </w:r>
      <w:r w:rsidR="00230FA1" w:rsidRPr="001F34A5">
        <w:rPr>
          <w:lang w:val="en-GB"/>
        </w:rPr>
        <w:t>contrast</w:t>
      </w:r>
      <w:r w:rsidRPr="001F34A5">
        <w:rPr>
          <w:lang w:val="en-GB"/>
        </w:rPr>
        <w:t xml:space="preserve"> with </w:t>
      </w:r>
      <w:r w:rsidR="00C76F58" w:rsidRPr="001F34A5">
        <w:rPr>
          <w:lang w:val="en-GB"/>
        </w:rPr>
        <w:t xml:space="preserve">our main interest of research, which are the potential heterogenous effects of PTAs on </w:t>
      </w:r>
      <w:r w:rsidR="004D2834" w:rsidRPr="001F34A5">
        <w:rPr>
          <w:lang w:val="en-GB"/>
        </w:rPr>
        <w:t>different members</w:t>
      </w:r>
      <w:r w:rsidR="00101FD2" w:rsidRPr="001F34A5">
        <w:rPr>
          <w:lang w:val="en-GB"/>
        </w:rPr>
        <w:t xml:space="preserve"> for different types of agreements</w:t>
      </w:r>
      <w:r w:rsidR="004D2834" w:rsidRPr="001F34A5">
        <w:rPr>
          <w:lang w:val="en-GB"/>
        </w:rPr>
        <w:t>,</w:t>
      </w:r>
      <w:r w:rsidR="00230FA1" w:rsidRPr="001F34A5">
        <w:rPr>
          <w:lang w:val="en-GB"/>
        </w:rPr>
        <w:t xml:space="preserve"> this benchmark model, specifically </w:t>
      </w:r>
      <m:oMath>
        <m:r>
          <w:rPr>
            <w:rFonts w:ascii="Cambria Math" w:hAnsi="Cambria Math"/>
            <w:lang w:val="en-GB"/>
          </w:rPr>
          <m:t>β=</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oMath>
      <w:r w:rsidR="00230FA1" w:rsidRPr="001F34A5">
        <w:rPr>
          <w:lang w:val="en-GB"/>
        </w:rPr>
        <w:t xml:space="preserve"> , would provide the average “total” </w:t>
      </w:r>
      <w:r w:rsidR="000F6E05" w:rsidRPr="001F34A5">
        <w:rPr>
          <w:lang w:val="en-GB"/>
        </w:rPr>
        <w:t xml:space="preserve">partial </w:t>
      </w:r>
      <w:r w:rsidR="00230FA1" w:rsidRPr="001F34A5">
        <w:rPr>
          <w:lang w:val="en-GB"/>
        </w:rPr>
        <w:t xml:space="preserve">effect of PTAs on trade after accounting for lagged effects, but it cannot provide </w:t>
      </w:r>
      <w:r w:rsidR="00102A36" w:rsidRPr="001F34A5">
        <w:rPr>
          <w:lang w:val="en-GB"/>
        </w:rPr>
        <w:t xml:space="preserve">the effects for a given agreement, country-pairs </w:t>
      </w:r>
      <w:proofErr w:type="spellStart"/>
      <w:r w:rsidR="00102A36" w:rsidRPr="001F34A5">
        <w:rPr>
          <w:lang w:val="en-GB"/>
        </w:rPr>
        <w:t>o</w:t>
      </w:r>
      <w:proofErr w:type="spellEnd"/>
      <w:r w:rsidR="00102A36" w:rsidRPr="001F34A5">
        <w:rPr>
          <w:lang w:val="en-GB"/>
        </w:rPr>
        <w:t xml:space="preserve"> specific country members to a specific agreement. </w:t>
      </w:r>
      <w:r w:rsidR="001D46E8" w:rsidRPr="001F34A5">
        <w:rPr>
          <w:lang w:val="en-GB"/>
        </w:rPr>
        <w:t xml:space="preserve">As such, </w:t>
      </w:r>
      <w:r w:rsidR="00E20014" w:rsidRPr="001F34A5">
        <w:rPr>
          <w:lang w:val="en-GB"/>
        </w:rPr>
        <w:t xml:space="preserve">three successive expansions can be implemented to capture </w:t>
      </w:r>
      <w:r w:rsidR="009A2535" w:rsidRPr="001F34A5">
        <w:rPr>
          <w:lang w:val="en-GB"/>
        </w:rPr>
        <w:t>heterogeneity in PTA effects</w:t>
      </w:r>
      <w:r w:rsidR="006A3929" w:rsidRPr="001F34A5">
        <w:rPr>
          <w:lang w:val="en-GB"/>
        </w:rPr>
        <w:t xml:space="preserve"> as proposed by Baier </w:t>
      </w:r>
      <w:r w:rsidR="006A3929" w:rsidRPr="001F34A5">
        <w:rPr>
          <w:i/>
          <w:iCs/>
          <w:lang w:val="en-GB"/>
        </w:rPr>
        <w:t>et al</w:t>
      </w:r>
      <w:r w:rsidR="006A3929" w:rsidRPr="001F34A5">
        <w:rPr>
          <w:lang w:val="en-GB"/>
        </w:rPr>
        <w:t xml:space="preserve">. </w:t>
      </w:r>
      <w:r w:rsidR="00DF455C">
        <w:rPr>
          <w:lang w:val="en-GB"/>
        </w:rPr>
        <w:fldChar w:fldCharType="begin"/>
      </w:r>
      <w:r w:rsidR="00DF455C">
        <w:rPr>
          <w:lang w:val="en-GB"/>
        </w:rPr>
        <w:instrText xml:space="preserve"> ADDIN ZOTERO_ITEM CSL_CITATION {"citationID":"NKvlWia8","properties":{"formattedCitation":"(Baier, Yotov, and Zylkin 2019)","plainCitation":"(Baier, Yotov, and Zylkin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DF455C">
        <w:rPr>
          <w:rFonts w:ascii="Cambria Math" w:hAnsi="Cambria Math" w:cs="Cambria Math"/>
          <w:lang w:val="en-GB"/>
        </w:rPr>
        <w:instrText>∼</w:instrText>
      </w:r>
      <w:r w:rsidR="00DF455C">
        <w:rPr>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DF455C">
        <w:rPr>
          <w:lang w:val="en-GB"/>
        </w:rPr>
        <w:fldChar w:fldCharType="separate"/>
      </w:r>
      <w:r w:rsidR="00595013">
        <w:rPr>
          <w:noProof/>
          <w:lang w:val="en-GB"/>
        </w:rPr>
        <w:t>(Baier, Yotov, and Zylkin 2019)</w:t>
      </w:r>
      <w:r w:rsidR="00DF455C">
        <w:rPr>
          <w:lang w:val="en-GB"/>
        </w:rPr>
        <w:fldChar w:fldCharType="end"/>
      </w:r>
      <w:r w:rsidR="009A2535" w:rsidRPr="001F34A5">
        <w:rPr>
          <w:lang w:val="en-GB"/>
        </w:rPr>
        <w:t>:</w:t>
      </w:r>
    </w:p>
    <w:p w14:paraId="50250CBF" w14:textId="77777777" w:rsidR="000F6E05" w:rsidRPr="001F34A5" w:rsidRDefault="000F6E05" w:rsidP="000F6E05">
      <w:pPr>
        <w:jc w:val="both"/>
        <w:rPr>
          <w:lang w:val="en-GB"/>
        </w:rPr>
      </w:pPr>
    </w:p>
    <w:p w14:paraId="4F8DE682" w14:textId="0775F18B" w:rsidR="00503287" w:rsidRPr="001F34A5" w:rsidRDefault="001F34A5" w:rsidP="00503287">
      <w:pPr>
        <w:rPr>
          <w:lang w:val="en-GB"/>
        </w:rPr>
      </w:pPr>
      <m:oMathPara>
        <m:oMath>
          <m:r>
            <w:rPr>
              <w:rFonts w:ascii="Cambria Math" w:hAnsi="Cambria Math"/>
              <w:lang w:val="en-GB"/>
            </w:rPr>
            <m:t xml:space="preserve">(2)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1D0E624" w14:textId="77777777" w:rsidR="00503287" w:rsidRPr="001F34A5" w:rsidRDefault="00503287" w:rsidP="00503287">
      <w:pPr>
        <w:rPr>
          <w:lang w:val="en-GB"/>
        </w:rPr>
      </w:pPr>
    </w:p>
    <w:p w14:paraId="5C7C7B11" w14:textId="35866514" w:rsidR="00FF108F" w:rsidRPr="001F34A5" w:rsidRDefault="000F6E05" w:rsidP="00B4097C">
      <w:pPr>
        <w:jc w:val="both"/>
        <w:rPr>
          <w:lang w:val="en-GB"/>
        </w:rPr>
      </w:pPr>
      <w:r w:rsidRPr="001F34A5">
        <w:rPr>
          <w:lang w:val="en-GB"/>
        </w:rPr>
        <w:t>Equation (2) can be implemented to account for heterogeneous effects of PTAs at the level of the specific agreement</w:t>
      </w:r>
      <w:r w:rsidR="00FB2673" w:rsidRPr="001F34A5">
        <w:rPr>
          <w:lang w:val="en-GB"/>
        </w:rPr>
        <w:t>, by allowing for distinct average partial effects for each individual agreement</w:t>
      </w:r>
      <w:r w:rsidR="007D7B2B" w:rsidRPr="001F34A5">
        <w:rPr>
          <w:lang w:val="en-GB"/>
        </w:rPr>
        <w:t xml:space="preserve">, using superscript </w:t>
      </w:r>
      <m:oMath>
        <m:r>
          <w:rPr>
            <w:rFonts w:ascii="Cambria Math" w:hAnsi="Cambria Math"/>
            <w:lang w:val="en-GB"/>
          </w:rPr>
          <m:t>A</m:t>
        </m:r>
      </m:oMath>
      <w:r w:rsidR="007D7B2B" w:rsidRPr="001F34A5">
        <w:rPr>
          <w:lang w:val="en-GB"/>
        </w:rPr>
        <w:t xml:space="preserve"> to index by agreement and also allowing for agreement-specific lags</w:t>
      </w:r>
      <w:r w:rsidR="00FB2673" w:rsidRPr="001F34A5">
        <w:rPr>
          <w:lang w:val="en-GB"/>
        </w:rPr>
        <w:t>:</w:t>
      </w:r>
      <w:r w:rsidRPr="001F34A5">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oMath>
      <w:r w:rsidR="00FB2673" w:rsidRPr="001F34A5">
        <w:rPr>
          <w:lang w:val="en-GB"/>
        </w:rPr>
        <w:t>.</w:t>
      </w:r>
    </w:p>
    <w:p w14:paraId="6267BFD4" w14:textId="77777777" w:rsidR="00626A05" w:rsidRPr="001F34A5" w:rsidRDefault="00626A05" w:rsidP="00626A05">
      <w:pPr>
        <w:spacing w:before="100" w:beforeAutospacing="1" w:after="100" w:afterAutospacing="1"/>
        <w:outlineLvl w:val="2"/>
        <w:rPr>
          <w:sz w:val="27"/>
          <w:szCs w:val="27"/>
        </w:rPr>
      </w:pPr>
      <w:r w:rsidRPr="001F34A5">
        <w:rPr>
          <w:sz w:val="27"/>
          <w:szCs w:val="27"/>
        </w:rPr>
        <w:t>Extended Benchmark Model with PTA Types</w:t>
      </w:r>
    </w:p>
    <w:p w14:paraId="413705AD" w14:textId="77777777" w:rsidR="00626A05" w:rsidRPr="001F34A5" w:rsidRDefault="00626A05" w:rsidP="00626A05">
      <w:pPr>
        <w:spacing w:before="100" w:beforeAutospacing="1" w:after="100" w:afterAutospacing="1"/>
      </w:pPr>
      <w:r w:rsidRPr="001F34A5">
        <w:t>You want to modify the benchmark model to allow for different types of PTAs (NN, NS, SS) while still keeping the same overall structure. Here’s how you can adjust the model:</w:t>
      </w:r>
    </w:p>
    <w:p w14:paraId="048F1DB9" w14:textId="21C7CC9B" w:rsidR="00963DC3" w:rsidRPr="001F34A5" w:rsidRDefault="00626A05" w:rsidP="00626A05">
      <w:pPr>
        <w:spacing w:before="100" w:beforeAutospacing="1" w:after="100" w:afterAutospacing="1"/>
        <w:outlineLvl w:val="3"/>
      </w:pPr>
      <w:r w:rsidRPr="001F34A5">
        <w:t>Equation (1) with PTA Types:</w:t>
      </w:r>
    </w:p>
    <w:p w14:paraId="4B0595FD" w14:textId="045D8E8E" w:rsidR="00963DC3" w:rsidRPr="001F34A5" w:rsidRDefault="001F34A5" w:rsidP="008466E4">
      <m:oMathPara>
        <m:oMath>
          <m:r>
            <w:rPr>
              <w:rFonts w:ascii="Cambria Math" w:hAnsi="Cambria Math"/>
            </w:rPr>
            <w:lastRenderedPageBreak/>
            <m:t xml:space="preserve">(3)     </m:t>
          </m:r>
          <m:sSub>
            <m:sSubPr>
              <m:ctrlPr>
                <w:rPr>
                  <w:rFonts w:ascii="Cambria Math" w:hAnsi="Cambria Math"/>
                  <w:i/>
                  <w:lang w:val="en-GB"/>
                </w:rPr>
              </m:ctrlPr>
            </m:sSubPr>
            <m:e>
              <m:r>
                <w:rPr>
                  <w:rFonts w:ascii="Cambria Math" w:hAnsi="Cambria Math"/>
                </w:rPr>
                <m:t>X</m:t>
              </m:r>
            </m:e>
            <m:sub>
              <m:r>
                <w:rPr>
                  <w:rFonts w:ascii="Cambria Math" w:hAnsi="Cambria Math"/>
                </w:rPr>
                <m:t>ij,t</m:t>
              </m:r>
            </m:sub>
          </m:sSub>
          <m:r>
            <w:rPr>
              <w:rFonts w:ascii="Cambria Math" w:hAnsi="Cambria Math"/>
            </w:rPr>
            <m:t>= exp(</m:t>
          </m:r>
          <m:sSub>
            <m:sSubPr>
              <m:ctrlPr>
                <w:rPr>
                  <w:rFonts w:ascii="Cambria Math" w:hAnsi="Cambria Math"/>
                  <w:i/>
                  <w:lang w:val="en-GB"/>
                </w:rPr>
              </m:ctrlPr>
            </m:sSubPr>
            <m:e>
              <m:r>
                <w:rPr>
                  <w:rFonts w:ascii="Cambria Math" w:hAnsi="Cambria Math"/>
                </w:rPr>
                <m:t>η</m:t>
              </m:r>
            </m:e>
            <m:sub>
              <m:r>
                <w:rPr>
                  <w:rFonts w:ascii="Cambria Math" w:hAnsi="Cambria Math"/>
                </w:rPr>
                <m:t>i,t</m:t>
              </m:r>
            </m:sub>
          </m:sSub>
          <m:r>
            <w:rPr>
              <w:rFonts w:ascii="Cambria Math" w:hAnsi="Cambria Math"/>
            </w:rPr>
            <m:t>+</m:t>
          </m:r>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rPr>
            <m:t>+</m:t>
          </m:r>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1NN</m:t>
              </m:r>
            </m:sub>
          </m:sSub>
          <m:sSub>
            <m:sSubPr>
              <m:ctrlPr>
                <w:rPr>
                  <w:rFonts w:ascii="Cambria Math" w:hAnsi="Cambria Math"/>
                  <w:i/>
                  <w:lang w:val="en-GB"/>
                </w:rPr>
              </m:ctrlPr>
            </m:sSubPr>
            <m:e>
              <m:r>
                <w:rPr>
                  <w:rFonts w:ascii="Cambria Math" w:hAnsi="Cambria Math"/>
                </w:rPr>
                <m:t>PTA_NN</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2NN</m:t>
              </m:r>
            </m:sub>
          </m:sSub>
          <m:sSub>
            <m:sSubPr>
              <m:ctrlPr>
                <w:rPr>
                  <w:rFonts w:ascii="Cambria Math" w:hAnsi="Cambria Math"/>
                  <w:i/>
                  <w:lang w:val="en-GB"/>
                </w:rPr>
              </m:ctrlPr>
            </m:sSubPr>
            <m:e>
              <m:r>
                <w:rPr>
                  <w:rFonts w:ascii="Cambria Math" w:hAnsi="Cambria Math"/>
                </w:rPr>
                <m:t>PTA_NN</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1NS</m:t>
              </m:r>
            </m:sub>
          </m:sSub>
          <m:sSub>
            <m:sSubPr>
              <m:ctrlPr>
                <w:rPr>
                  <w:rFonts w:ascii="Cambria Math" w:hAnsi="Cambria Math"/>
                  <w:i/>
                  <w:lang w:val="en-GB"/>
                </w:rPr>
              </m:ctrlPr>
            </m:sSubPr>
            <m:e>
              <m:r>
                <w:rPr>
                  <w:rFonts w:ascii="Cambria Math" w:hAnsi="Cambria Math"/>
                </w:rPr>
                <m:t>PTA_NS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2NS</m:t>
              </m:r>
            </m:sub>
          </m:sSub>
          <m:sSub>
            <m:sSubPr>
              <m:ctrlPr>
                <w:rPr>
                  <w:rFonts w:ascii="Cambria Math" w:hAnsi="Cambria Math"/>
                  <w:i/>
                  <w:lang w:val="en-GB"/>
                </w:rPr>
              </m:ctrlPr>
            </m:sSubPr>
            <m:e>
              <m:r>
                <w:rPr>
                  <w:rFonts w:ascii="Cambria Math" w:hAnsi="Cambria Math"/>
                </w:rPr>
                <m:t>PTA_NS</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1SS</m:t>
              </m:r>
            </m:sub>
          </m:sSub>
          <m:sSub>
            <m:sSubPr>
              <m:ctrlPr>
                <w:rPr>
                  <w:rFonts w:ascii="Cambria Math" w:hAnsi="Cambria Math"/>
                  <w:i/>
                  <w:lang w:val="en-GB"/>
                </w:rPr>
              </m:ctrlPr>
            </m:sSubPr>
            <m:e>
              <m:r>
                <w:rPr>
                  <w:rFonts w:ascii="Cambria Math" w:hAnsi="Cambria Math"/>
                </w:rPr>
                <m:t>PTA_SS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2SS</m:t>
              </m:r>
            </m:sub>
          </m:sSub>
          <m:sSub>
            <m:sSubPr>
              <m:ctrlPr>
                <w:rPr>
                  <w:rFonts w:ascii="Cambria Math" w:hAnsi="Cambria Math"/>
                  <w:i/>
                  <w:lang w:val="en-GB"/>
                </w:rPr>
              </m:ctrlPr>
            </m:sSubPr>
            <m:e>
              <m:r>
                <w:rPr>
                  <w:rFonts w:ascii="Cambria Math" w:hAnsi="Cambria Math"/>
                </w:rPr>
                <m:t>PTA_SS</m:t>
              </m:r>
            </m:e>
            <m:sub>
              <m:r>
                <w:rPr>
                  <w:rFonts w:ascii="Cambria Math" w:hAnsi="Cambria Math"/>
                </w:rPr>
                <m:t>ij,t-5</m:t>
              </m:r>
            </m:sub>
          </m:sSub>
          <m:r>
            <w:rPr>
              <w:rFonts w:ascii="Cambria Math" w:hAnsi="Cambria Math"/>
            </w:rPr>
            <m:t>+</m:t>
          </m:r>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m:oMathPara>
    </w:p>
    <w:p w14:paraId="32C3DA70" w14:textId="77777777" w:rsidR="00963DC3" w:rsidRPr="001F34A5" w:rsidRDefault="00963DC3" w:rsidP="00963DC3">
      <w:pPr>
        <w:spacing w:before="100" w:beforeAutospacing="1" w:after="100" w:afterAutospacing="1"/>
        <w:outlineLvl w:val="2"/>
        <w:rPr>
          <w:sz w:val="27"/>
          <w:szCs w:val="27"/>
        </w:rPr>
      </w:pPr>
      <w:r w:rsidRPr="001F34A5">
        <w:rPr>
          <w:sz w:val="27"/>
          <w:szCs w:val="27"/>
        </w:rPr>
        <w:t>Where:</w:t>
      </w:r>
    </w:p>
    <w:p w14:paraId="1E9FD880" w14:textId="04EB9C78" w:rsidR="00963DC3" w:rsidRPr="001F34A5" w:rsidRDefault="00000000" w:rsidP="00963DC3">
      <w:pPr>
        <w:numPr>
          <w:ilvl w:val="0"/>
          <w:numId w:val="5"/>
        </w:numPr>
        <w:spacing w:before="100" w:beforeAutospacing="1" w:after="100" w:afterAutospacing="1"/>
      </w:pP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00963DC3" w:rsidRPr="001F34A5">
        <w:t xml:space="preserve">​ denotes the value of exports from country </w:t>
      </w:r>
      <m:oMath>
        <m:r>
          <w:rPr>
            <w:rFonts w:ascii="Cambria Math" w:hAnsi="Cambria Math"/>
          </w:rPr>
          <m:t>i</m:t>
        </m:r>
      </m:oMath>
      <w:r w:rsidR="00963DC3" w:rsidRPr="001F34A5">
        <w:t xml:space="preserve"> to country </w:t>
      </w:r>
      <m:oMath>
        <m:r>
          <w:rPr>
            <w:rFonts w:ascii="Cambria Math" w:hAnsi="Cambria Math"/>
          </w:rPr>
          <m:t>j</m:t>
        </m:r>
      </m:oMath>
      <w:r w:rsidR="00963DC3" w:rsidRPr="001F34A5">
        <w:t xml:space="preserve"> at time </w:t>
      </w:r>
      <m:oMath>
        <m:r>
          <w:rPr>
            <w:rFonts w:ascii="Cambria Math" w:hAnsi="Cambria Math"/>
          </w:rPr>
          <m:t>t</m:t>
        </m:r>
      </m:oMath>
      <w:r w:rsidR="00963DC3" w:rsidRPr="001F34A5">
        <w:t>.</w:t>
      </w:r>
    </w:p>
    <w:p w14:paraId="754169DC" w14:textId="18E1048F" w:rsidR="00963DC3" w:rsidRPr="001F34A5" w:rsidRDefault="00000000" w:rsidP="00963DC3">
      <w:pPr>
        <w:numPr>
          <w:ilvl w:val="0"/>
          <w:numId w:val="5"/>
        </w:numPr>
        <w:spacing w:before="100" w:beforeAutospacing="1" w:after="100" w:afterAutospacing="1"/>
      </w:pP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00A42C99" w:rsidRPr="001F34A5">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00963DC3" w:rsidRPr="001F34A5">
        <w:t>are exporter-time and importer-time fixed effects, respectively.</w:t>
      </w:r>
    </w:p>
    <w:p w14:paraId="69870213" w14:textId="1252821B" w:rsidR="00963DC3" w:rsidRPr="001F34A5" w:rsidRDefault="00000000" w:rsidP="00963DC3">
      <w:pPr>
        <w:numPr>
          <w:ilvl w:val="0"/>
          <w:numId w:val="5"/>
        </w:numPr>
        <w:spacing w:before="100" w:beforeAutospacing="1" w:after="100" w:afterAutospacing="1"/>
      </w:pP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00810C3C" w:rsidRPr="001F34A5">
        <w:t xml:space="preserve"> </w:t>
      </w:r>
      <w:r w:rsidR="00963DC3" w:rsidRPr="001F34A5">
        <w:t>is a country-pair fixed effect.</w:t>
      </w:r>
    </w:p>
    <w:p w14:paraId="7B6774FB" w14:textId="56C78449" w:rsidR="00963DC3" w:rsidRPr="001F34A5" w:rsidRDefault="00963DC3" w:rsidP="00963DC3">
      <w:pPr>
        <w:numPr>
          <w:ilvl w:val="0"/>
          <w:numId w:val="5"/>
        </w:numPr>
        <w:spacing w:before="100" w:beforeAutospacing="1" w:after="100" w:afterAutospacing="1"/>
      </w:pPr>
      <w:r w:rsidRPr="001F34A5">
        <w:t>​</w:t>
      </w:r>
      <m:oMath>
        <m:sSub>
          <m:sSubPr>
            <m:ctrlPr>
              <w:rPr>
                <w:rFonts w:ascii="Cambria Math" w:hAnsi="Cambria Math"/>
                <w:i/>
                <w:lang w:val="en-GB"/>
              </w:rPr>
            </m:ctrlPr>
          </m:sSubPr>
          <m:e>
            <m:r>
              <w:rPr>
                <w:rFonts w:ascii="Cambria Math" w:hAnsi="Cambria Math"/>
              </w:rPr>
              <m:t>β</m:t>
            </m:r>
          </m:e>
          <m:sub>
            <m:r>
              <w:rPr>
                <w:rFonts w:ascii="Cambria Math" w:hAnsi="Cambria Math"/>
              </w:rPr>
              <m:t>1NN</m:t>
            </m:r>
          </m:sub>
        </m:sSub>
      </m:oMath>
      <w:r w:rsidR="00810C3C" w:rsidRPr="001F34A5">
        <w:rPr>
          <w:lang w:val="en-GB"/>
        </w:rPr>
        <w:t xml:space="preserve"> </w:t>
      </w:r>
      <w:r w:rsidR="00810C3C" w:rsidRPr="001F34A5">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2NN</m:t>
            </m:r>
          </m:sub>
        </m:sSub>
      </m:oMath>
      <w:r w:rsidR="00810C3C" w:rsidRPr="001F34A5">
        <w:t xml:space="preserve"> </w:t>
      </w:r>
      <w:r w:rsidRPr="001F34A5">
        <w:t xml:space="preserve">are the coefficients for the immediate and lagged effects of a North-North PTA </w:t>
      </w:r>
      <w:r w:rsidR="00810C3C" w:rsidRPr="001F34A5">
        <w:t>(</w:t>
      </w:r>
      <m:oMath>
        <m:r>
          <w:rPr>
            <w:rFonts w:ascii="Cambria Math" w:hAnsi="Cambria Math"/>
          </w:rPr>
          <m:t>PTA_NN</m:t>
        </m:r>
      </m:oMath>
      <w:r w:rsidR="00810C3C" w:rsidRPr="001F34A5">
        <w:t>).</w:t>
      </w:r>
    </w:p>
    <w:p w14:paraId="4AFFB878" w14:textId="2CD7C035" w:rsidR="00963DC3" w:rsidRPr="001F34A5" w:rsidRDefault="00963DC3" w:rsidP="00963DC3">
      <w:pPr>
        <w:numPr>
          <w:ilvl w:val="0"/>
          <w:numId w:val="5"/>
        </w:numPr>
        <w:spacing w:before="100" w:beforeAutospacing="1" w:after="100" w:afterAutospacing="1"/>
      </w:pPr>
      <w:r w:rsidRPr="001F34A5">
        <w:t>​</w:t>
      </w:r>
      <w:r w:rsidR="00B3601A" w:rsidRPr="001F34A5">
        <w:t>​</w:t>
      </w:r>
      <m:oMath>
        <m:sSub>
          <m:sSubPr>
            <m:ctrlPr>
              <w:rPr>
                <w:rFonts w:ascii="Cambria Math" w:hAnsi="Cambria Math"/>
                <w:i/>
                <w:lang w:val="en-GB"/>
              </w:rPr>
            </m:ctrlPr>
          </m:sSubPr>
          <m:e>
            <m:r>
              <w:rPr>
                <w:rFonts w:ascii="Cambria Math" w:hAnsi="Cambria Math"/>
              </w:rPr>
              <m:t>β</m:t>
            </m:r>
          </m:e>
          <m:sub>
            <m:r>
              <w:rPr>
                <w:rFonts w:ascii="Cambria Math" w:hAnsi="Cambria Math"/>
              </w:rPr>
              <m:t>1NS</m:t>
            </m:r>
          </m:sub>
        </m:sSub>
      </m:oMath>
      <w:r w:rsidR="00B3601A" w:rsidRPr="001F34A5">
        <w:rPr>
          <w:lang w:val="en-GB"/>
        </w:rPr>
        <w:t xml:space="preserve"> </w:t>
      </w:r>
      <w:r w:rsidR="00B3601A" w:rsidRPr="001F34A5">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2NS</m:t>
            </m:r>
          </m:sub>
        </m:sSub>
      </m:oMath>
      <w:r w:rsidR="00B3601A" w:rsidRPr="001F34A5">
        <w:t xml:space="preserve"> </w:t>
      </w:r>
      <w:r w:rsidRPr="001F34A5">
        <w:t xml:space="preserve">are the coefficients for the immediate and lagged effects of a North-South PTA </w:t>
      </w:r>
      <w:r w:rsidR="00B3601A" w:rsidRPr="001F34A5">
        <w:t>(</w:t>
      </w:r>
      <m:oMath>
        <m:r>
          <w:rPr>
            <w:rFonts w:ascii="Cambria Math" w:hAnsi="Cambria Math"/>
          </w:rPr>
          <m:t>PTA_SN</m:t>
        </m:r>
      </m:oMath>
      <w:r w:rsidR="00B3601A" w:rsidRPr="001F34A5">
        <w:t>).</w:t>
      </w:r>
    </w:p>
    <w:p w14:paraId="4F54B407" w14:textId="5E0E970F" w:rsidR="00963DC3" w:rsidRPr="001F34A5" w:rsidRDefault="00963DC3" w:rsidP="00963DC3">
      <w:pPr>
        <w:numPr>
          <w:ilvl w:val="0"/>
          <w:numId w:val="5"/>
        </w:numPr>
        <w:spacing w:before="100" w:beforeAutospacing="1" w:after="100" w:afterAutospacing="1"/>
      </w:pPr>
      <w:r w:rsidRPr="001F34A5">
        <w:t>​</w:t>
      </w:r>
      <w:r w:rsidR="00B3601A" w:rsidRPr="001F34A5">
        <w:t>​</w:t>
      </w:r>
      <m:oMath>
        <m:sSub>
          <m:sSubPr>
            <m:ctrlPr>
              <w:rPr>
                <w:rFonts w:ascii="Cambria Math" w:hAnsi="Cambria Math"/>
                <w:i/>
                <w:lang w:val="en-GB"/>
              </w:rPr>
            </m:ctrlPr>
          </m:sSubPr>
          <m:e>
            <m:r>
              <w:rPr>
                <w:rFonts w:ascii="Cambria Math" w:hAnsi="Cambria Math"/>
              </w:rPr>
              <m:t>β</m:t>
            </m:r>
          </m:e>
          <m:sub>
            <m:r>
              <w:rPr>
                <w:rFonts w:ascii="Cambria Math" w:hAnsi="Cambria Math"/>
              </w:rPr>
              <m:t>1SS</m:t>
            </m:r>
          </m:sub>
        </m:sSub>
      </m:oMath>
      <w:r w:rsidR="00B3601A" w:rsidRPr="001F34A5">
        <w:rPr>
          <w:lang w:val="en-GB"/>
        </w:rPr>
        <w:t xml:space="preserve"> </w:t>
      </w:r>
      <w:r w:rsidR="00B3601A" w:rsidRPr="001F34A5">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2SS</m:t>
            </m:r>
          </m:sub>
        </m:sSub>
      </m:oMath>
      <w:r w:rsidR="00B3601A" w:rsidRPr="001F34A5">
        <w:t xml:space="preserve"> </w:t>
      </w:r>
      <w:r w:rsidRPr="001F34A5">
        <w:t xml:space="preserve">are the coefficients for the immediate and lagged effects of a South-South PTA </w:t>
      </w:r>
      <w:r w:rsidR="00B3601A" w:rsidRPr="001F34A5">
        <w:t>(</w:t>
      </w:r>
      <m:oMath>
        <m:r>
          <w:rPr>
            <w:rFonts w:ascii="Cambria Math" w:hAnsi="Cambria Math"/>
          </w:rPr>
          <m:t>PTA_SS</m:t>
        </m:r>
      </m:oMath>
      <w:r w:rsidR="00B3601A" w:rsidRPr="001F34A5">
        <w:t>).</w:t>
      </w:r>
    </w:p>
    <w:p w14:paraId="7F8B419D" w14:textId="01B9A169" w:rsidR="00963DC3" w:rsidRPr="001F34A5" w:rsidRDefault="00000000" w:rsidP="00963DC3">
      <w:pPr>
        <w:numPr>
          <w:ilvl w:val="0"/>
          <w:numId w:val="5"/>
        </w:numPr>
        <w:spacing w:before="100" w:beforeAutospacing="1" w:after="100" w:afterAutospacing="1"/>
      </w:pP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00963DC3" w:rsidRPr="001F34A5">
        <w:t xml:space="preserve"> is a set of time dummies accounting for </w:t>
      </w:r>
      <w:r w:rsidR="00163F8B" w:rsidRPr="001F34A5">
        <w:t xml:space="preserve">international </w:t>
      </w:r>
      <w:r w:rsidR="00963DC3" w:rsidRPr="001F34A5">
        <w:t>trade-specific effects at each time</w:t>
      </w:r>
      <w:r w:rsidR="00B3601A" w:rsidRPr="001F34A5">
        <w:t xml:space="preserve"> </w:t>
      </w:r>
      <m:oMath>
        <m:r>
          <w:rPr>
            <w:rFonts w:ascii="Cambria Math" w:hAnsi="Cambria Math"/>
          </w:rPr>
          <m:t>t</m:t>
        </m:r>
      </m:oMath>
      <w:r w:rsidR="00963DC3" w:rsidRPr="001F34A5">
        <w:t>.</w:t>
      </w:r>
    </w:p>
    <w:p w14:paraId="1C611268" w14:textId="707514F4" w:rsidR="00963DC3" w:rsidRPr="001F34A5" w:rsidRDefault="00000000" w:rsidP="00963DC3">
      <w:pPr>
        <w:numPr>
          <w:ilvl w:val="0"/>
          <w:numId w:val="5"/>
        </w:numPr>
        <w:spacing w:before="100" w:beforeAutospacing="1" w:after="100" w:afterAutospacing="1"/>
      </w:pP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00B3601A" w:rsidRPr="001F34A5">
        <w:rPr>
          <w:lang w:val="en-GB"/>
        </w:rPr>
        <w:t xml:space="preserve"> </w:t>
      </w:r>
      <w:r w:rsidR="00963DC3" w:rsidRPr="001F34A5">
        <w:t>is the error term.</w:t>
      </w:r>
    </w:p>
    <w:p w14:paraId="63481745" w14:textId="77777777" w:rsidR="00626A05" w:rsidRPr="001F34A5" w:rsidRDefault="00626A05" w:rsidP="00626A05">
      <w:pPr>
        <w:spacing w:before="100" w:beforeAutospacing="1" w:after="100" w:afterAutospacing="1"/>
        <w:outlineLvl w:val="2"/>
        <w:rPr>
          <w:sz w:val="27"/>
          <w:szCs w:val="27"/>
        </w:rPr>
      </w:pPr>
      <w:r w:rsidRPr="001F34A5">
        <w:rPr>
          <w:sz w:val="27"/>
          <w:szCs w:val="27"/>
        </w:rPr>
        <w:t>Extended Model with PTA Heterogeneity and Types</w:t>
      </w:r>
    </w:p>
    <w:p w14:paraId="5FB19366" w14:textId="77777777" w:rsidR="00626A05" w:rsidRPr="001F34A5" w:rsidRDefault="00626A05" w:rsidP="00626A05">
      <w:pPr>
        <w:spacing w:before="100" w:beforeAutospacing="1" w:after="100" w:afterAutospacing="1"/>
      </w:pPr>
      <w:r w:rsidRPr="001F34A5">
        <w:t>Next, you want to extend the model allowing for PTA heterogeneity to also distinguish between different types of PTAs.</w:t>
      </w:r>
    </w:p>
    <w:p w14:paraId="3A708805" w14:textId="77777777" w:rsidR="00626A05" w:rsidRPr="001F34A5" w:rsidRDefault="00626A05" w:rsidP="00626A05">
      <w:pPr>
        <w:spacing w:before="100" w:beforeAutospacing="1" w:after="100" w:afterAutospacing="1"/>
        <w:outlineLvl w:val="3"/>
      </w:pPr>
      <w:r w:rsidRPr="001F34A5">
        <w:t>Equation (2) with PTA Types:</w:t>
      </w:r>
    </w:p>
    <w:p w14:paraId="410A0E48" w14:textId="6F9FD079" w:rsidR="00F409BE" w:rsidRPr="001F34A5" w:rsidRDefault="001F34A5" w:rsidP="00F409BE">
      <w:pPr>
        <w:rPr>
          <w:lang w:val="en-GB"/>
        </w:rPr>
      </w:pPr>
      <m:oMathPara>
        <m:oMath>
          <m:r>
            <w:rPr>
              <w:rFonts w:ascii="Cambria Math" w:hAnsi="Cambria Math"/>
              <w:lang w:val="en-GB"/>
            </w:rPr>
            <m:t xml:space="preserve">(4)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33A86183" w14:textId="77777777" w:rsidR="00163F8B" w:rsidRPr="001F34A5" w:rsidRDefault="00163F8B" w:rsidP="00163F8B">
      <w:pPr>
        <w:spacing w:before="100" w:beforeAutospacing="1" w:after="100" w:afterAutospacing="1"/>
        <w:outlineLvl w:val="2"/>
        <w:rPr>
          <w:sz w:val="27"/>
          <w:szCs w:val="27"/>
        </w:rPr>
      </w:pPr>
      <w:r w:rsidRPr="001F34A5">
        <w:rPr>
          <w:sz w:val="27"/>
          <w:szCs w:val="27"/>
        </w:rPr>
        <w:t>Where:</w:t>
      </w:r>
    </w:p>
    <w:p w14:paraId="5DB1BE0C" w14:textId="505BF7AA" w:rsidR="00163F8B" w:rsidRPr="001F34A5" w:rsidRDefault="00000000" w:rsidP="00163F8B">
      <w:pPr>
        <w:numPr>
          <w:ilvl w:val="0"/>
          <w:numId w:val="5"/>
        </w:numPr>
        <w:spacing w:before="100" w:beforeAutospacing="1" w:after="100" w:afterAutospacing="1"/>
      </w:pP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00163F8B" w:rsidRPr="001F34A5">
        <w:t xml:space="preserve">​ denotes the value of exports from country </w:t>
      </w:r>
      <m:oMath>
        <m:r>
          <w:rPr>
            <w:rFonts w:ascii="Cambria Math" w:hAnsi="Cambria Math"/>
          </w:rPr>
          <m:t>i</m:t>
        </m:r>
      </m:oMath>
      <w:r w:rsidR="00163F8B" w:rsidRPr="001F34A5">
        <w:t xml:space="preserve"> to country </w:t>
      </w:r>
      <m:oMath>
        <m:r>
          <w:rPr>
            <w:rFonts w:ascii="Cambria Math" w:hAnsi="Cambria Math"/>
          </w:rPr>
          <m:t>j</m:t>
        </m:r>
      </m:oMath>
      <w:r w:rsidR="00163F8B" w:rsidRPr="001F34A5">
        <w:t xml:space="preserve"> at time </w:t>
      </w:r>
      <m:oMath>
        <m:r>
          <w:rPr>
            <w:rFonts w:ascii="Cambria Math" w:hAnsi="Cambria Math"/>
          </w:rPr>
          <m:t>t</m:t>
        </m:r>
      </m:oMath>
      <w:r w:rsidR="00163F8B" w:rsidRPr="001F34A5">
        <w:t>.</w:t>
      </w:r>
    </w:p>
    <w:p w14:paraId="06D4BBF0" w14:textId="31AE49FB" w:rsidR="00163F8B" w:rsidRPr="001F34A5" w:rsidRDefault="00000000" w:rsidP="00163F8B">
      <w:pPr>
        <w:numPr>
          <w:ilvl w:val="0"/>
          <w:numId w:val="5"/>
        </w:numPr>
        <w:spacing w:before="100" w:beforeAutospacing="1" w:after="100" w:afterAutospacing="1"/>
      </w:pP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00163F8B" w:rsidRPr="001F34A5">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00163F8B" w:rsidRPr="001F34A5">
        <w:t>are exporter-time and importer-time fixed effects, respectively.</w:t>
      </w:r>
    </w:p>
    <w:p w14:paraId="70BC7727" w14:textId="57D1666C" w:rsidR="0053271C" w:rsidRPr="001F34A5" w:rsidRDefault="00000000" w:rsidP="0053271C">
      <w:pPr>
        <w:numPr>
          <w:ilvl w:val="0"/>
          <w:numId w:val="5"/>
        </w:numPr>
        <w:spacing w:before="100" w:beforeAutospacing="1" w:after="100" w:afterAutospacing="1"/>
      </w:pP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00163F8B" w:rsidRPr="001F34A5">
        <w:t xml:space="preserve"> is a country-pair fixed effect.</w:t>
      </w:r>
    </w:p>
    <w:p w14:paraId="1B40FF48" w14:textId="0F7FD598" w:rsidR="00AE4C3B" w:rsidRPr="001F34A5" w:rsidRDefault="0053271C" w:rsidP="00AE4C3B">
      <w:pPr>
        <w:numPr>
          <w:ilvl w:val="0"/>
          <w:numId w:val="5"/>
        </w:numPr>
        <w:spacing w:before="100" w:beforeAutospacing="1" w:after="100" w:afterAutospacing="1"/>
      </w:pPr>
      <w:r w:rsidRPr="001F34A5">
        <w:t>The summations ​</w:t>
      </w:r>
      <m:oMath>
        <m:nary>
          <m:naryPr>
            <m:chr m:val="∑"/>
            <m:limLoc m:val="undOvr"/>
            <m:subHide m:val="1"/>
            <m:supHide m:val="1"/>
            <m:ctrlPr>
              <w:rPr>
                <w:rFonts w:ascii="Cambria Math" w:hAnsi="Cambria Math"/>
                <w:i/>
              </w:rPr>
            </m:ctrlPr>
          </m:naryPr>
          <m:sub/>
          <m:sup/>
          <m:e>
            <m:r>
              <w:rPr>
                <w:rFonts w:ascii="Cambria Math" w:hAnsi="Cambria Math"/>
              </w:rPr>
              <m:t>A</m:t>
            </m:r>
          </m:e>
        </m:nary>
      </m:oMath>
      <w:r w:rsidRPr="001F34A5">
        <w:t xml:space="preserve"> denote the sum over different agreements </w:t>
      </w:r>
      <m:oMath>
        <m:r>
          <w:rPr>
            <w:rFonts w:ascii="Cambria Math" w:hAnsi="Cambria Math"/>
          </w:rPr>
          <m:t>A</m:t>
        </m:r>
      </m:oMath>
      <w:r w:rsidRPr="001F34A5">
        <w:t xml:space="preserve"> for:</w:t>
      </w:r>
    </w:p>
    <w:p w14:paraId="5836217E" w14:textId="06DE3B2F" w:rsidR="003C7E4C" w:rsidRPr="001F34A5" w:rsidRDefault="00000000" w:rsidP="0053271C">
      <w:pPr>
        <w:numPr>
          <w:ilvl w:val="1"/>
          <w:numId w:val="5"/>
        </w:numPr>
        <w:spacing w:before="100" w:beforeAutospacing="1" w:after="100" w:afterAutospacing="1"/>
      </w:pPr>
      <m:oMath>
        <m:sSub>
          <m:sSubPr>
            <m:ctrlPr>
              <w:rPr>
                <w:rFonts w:ascii="Cambria Math" w:hAnsi="Cambria Math"/>
                <w:i/>
                <w:lang w:val="en-GB"/>
              </w:rPr>
            </m:ctrlPr>
          </m:sSubPr>
          <m:e>
            <m:r>
              <w:rPr>
                <w:rFonts w:ascii="Cambria Math" w:hAnsi="Cambria Math"/>
              </w:rPr>
              <m:t>β</m:t>
            </m:r>
          </m:e>
          <m:sub>
            <m:r>
              <w:rPr>
                <w:rFonts w:ascii="Cambria Math" w:hAnsi="Cambria Math"/>
              </w:rPr>
              <m:t>1,A,NN</m:t>
            </m:r>
          </m:sub>
        </m:sSub>
      </m:oMath>
      <w:r w:rsidR="00A6743F" w:rsidRPr="001F34A5">
        <w:rPr>
          <w:lang w:val="en-GB"/>
        </w:rPr>
        <w:t xml:space="preserve"> </w:t>
      </w:r>
      <w:r w:rsidR="00A6743F" w:rsidRPr="001F34A5">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2,A,NN</m:t>
            </m:r>
          </m:sub>
        </m:sSub>
      </m:oMath>
      <w:r w:rsidR="003C7E4C" w:rsidRPr="001F34A5">
        <w:rPr>
          <w:lang w:val="en-GB"/>
        </w:rPr>
        <w:t xml:space="preserve">: </w:t>
      </w:r>
      <w:r w:rsidR="0053271C" w:rsidRPr="001F34A5">
        <w:t>Coefficients for the immediate and lagged effects of North-North PTAs ​</w:t>
      </w:r>
      <w:r w:rsidR="00A6743F" w:rsidRPr="001F34A5">
        <w:t>(</w:t>
      </w:r>
      <m:oMath>
        <m:r>
          <w:rPr>
            <w:rFonts w:ascii="Cambria Math" w:hAnsi="Cambria Math"/>
          </w:rPr>
          <m:t>PTA_NN</m:t>
        </m:r>
      </m:oMath>
      <w:r w:rsidR="00A6743F" w:rsidRPr="001F34A5">
        <w:t>).</w:t>
      </w:r>
    </w:p>
    <w:p w14:paraId="5406545F" w14:textId="00CAD6CC" w:rsidR="003C7E4C" w:rsidRPr="001F34A5" w:rsidRDefault="0053271C" w:rsidP="0053271C">
      <w:pPr>
        <w:numPr>
          <w:ilvl w:val="1"/>
          <w:numId w:val="5"/>
        </w:numPr>
        <w:spacing w:before="100" w:beforeAutospacing="1" w:after="100" w:afterAutospacing="1"/>
      </w:pPr>
      <w:r w:rsidRPr="001F34A5">
        <w:lastRenderedPageBreak/>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1,A,NS</m:t>
            </m:r>
          </m:sub>
        </m:sSub>
      </m:oMath>
      <w:r w:rsidR="003C7E4C" w:rsidRPr="001F34A5">
        <w:rPr>
          <w:lang w:val="en-GB"/>
        </w:rPr>
        <w:t xml:space="preserve"> </w:t>
      </w:r>
      <w:r w:rsidR="003C7E4C" w:rsidRPr="001F34A5">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2,A,NS</m:t>
            </m:r>
          </m:sub>
        </m:sSub>
      </m:oMath>
      <w:r w:rsidR="003C7E4C" w:rsidRPr="001F34A5">
        <w:t xml:space="preserve">: </w:t>
      </w:r>
      <w:r w:rsidRPr="001F34A5">
        <w:t xml:space="preserve">Coefficients for the immediate and lagged effects of North-South PTAs </w:t>
      </w:r>
      <w:r w:rsidR="003C7E4C" w:rsidRPr="001F34A5">
        <w:t>(</w:t>
      </w:r>
      <m:oMath>
        <m:r>
          <w:rPr>
            <w:rFonts w:ascii="Cambria Math" w:hAnsi="Cambria Math"/>
          </w:rPr>
          <m:t>PTA_SN</m:t>
        </m:r>
      </m:oMath>
      <w:r w:rsidR="003C7E4C" w:rsidRPr="001F34A5">
        <w:t>).</w:t>
      </w:r>
    </w:p>
    <w:p w14:paraId="1D0E14D3" w14:textId="2FCC4657" w:rsidR="00163F8B" w:rsidRPr="001F34A5" w:rsidRDefault="00000000" w:rsidP="003C7E4C">
      <w:pPr>
        <w:numPr>
          <w:ilvl w:val="1"/>
          <w:numId w:val="5"/>
        </w:numPr>
        <w:spacing w:before="100" w:beforeAutospacing="1" w:after="100" w:afterAutospacing="1"/>
      </w:pPr>
      <m:oMath>
        <m:sSub>
          <m:sSubPr>
            <m:ctrlPr>
              <w:rPr>
                <w:rFonts w:ascii="Cambria Math" w:hAnsi="Cambria Math"/>
                <w:i/>
                <w:lang w:val="en-GB"/>
              </w:rPr>
            </m:ctrlPr>
          </m:sSubPr>
          <m:e>
            <m:r>
              <w:rPr>
                <w:rFonts w:ascii="Cambria Math" w:hAnsi="Cambria Math"/>
              </w:rPr>
              <m:t>β</m:t>
            </m:r>
          </m:e>
          <m:sub>
            <m:r>
              <w:rPr>
                <w:rFonts w:ascii="Cambria Math" w:hAnsi="Cambria Math"/>
              </w:rPr>
              <m:t>1,A,SS</m:t>
            </m:r>
          </m:sub>
        </m:sSub>
      </m:oMath>
      <w:r w:rsidR="003C7E4C" w:rsidRPr="001F34A5">
        <w:rPr>
          <w:lang w:val="en-GB"/>
        </w:rPr>
        <w:t xml:space="preserve"> </w:t>
      </w:r>
      <w:r w:rsidR="003C7E4C" w:rsidRPr="001F34A5">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2,A,SS</m:t>
            </m:r>
          </m:sub>
        </m:sSub>
      </m:oMath>
      <w:r w:rsidR="0053271C" w:rsidRPr="001F34A5">
        <w:t xml:space="preserve">: Coefficients for the immediate and lagged effects of South-South PTAs </w:t>
      </w:r>
      <w:r w:rsidR="003C7E4C" w:rsidRPr="001F34A5">
        <w:t>(</w:t>
      </w:r>
      <m:oMath>
        <m:r>
          <w:rPr>
            <w:rFonts w:ascii="Cambria Math" w:hAnsi="Cambria Math"/>
          </w:rPr>
          <m:t>PTA_SS</m:t>
        </m:r>
      </m:oMath>
      <w:r w:rsidR="003C7E4C" w:rsidRPr="001F34A5">
        <w:t>).</w:t>
      </w:r>
    </w:p>
    <w:p w14:paraId="4041B693" w14:textId="0349D885" w:rsidR="00163F8B" w:rsidRPr="001F34A5" w:rsidRDefault="00000000" w:rsidP="00163F8B">
      <w:pPr>
        <w:numPr>
          <w:ilvl w:val="0"/>
          <w:numId w:val="5"/>
        </w:numPr>
        <w:spacing w:before="100" w:beforeAutospacing="1" w:after="100" w:afterAutospacing="1"/>
      </w:pP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00163F8B" w:rsidRPr="001F34A5">
        <w:t xml:space="preserve"> is a set of time dummies accounting for trade-specific effects at each time </w:t>
      </w:r>
      <m:oMath>
        <m:r>
          <w:rPr>
            <w:rFonts w:ascii="Cambria Math" w:hAnsi="Cambria Math"/>
          </w:rPr>
          <m:t>t</m:t>
        </m:r>
      </m:oMath>
      <w:r w:rsidR="00163F8B" w:rsidRPr="001F34A5">
        <w:t>.</w:t>
      </w:r>
    </w:p>
    <w:p w14:paraId="3405E9AA" w14:textId="0FABE0A4" w:rsidR="00163F8B" w:rsidRPr="001F34A5" w:rsidRDefault="00000000" w:rsidP="00163F8B">
      <w:pPr>
        <w:numPr>
          <w:ilvl w:val="0"/>
          <w:numId w:val="5"/>
        </w:numPr>
        <w:spacing w:before="100" w:beforeAutospacing="1" w:after="100" w:afterAutospacing="1"/>
      </w:pP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00163F8B" w:rsidRPr="001F34A5">
        <w:rPr>
          <w:lang w:val="en-GB"/>
        </w:rPr>
        <w:t xml:space="preserve"> </w:t>
      </w:r>
      <w:r w:rsidR="00163F8B" w:rsidRPr="001F34A5">
        <w:t>is the error term.</w:t>
      </w:r>
    </w:p>
    <w:p w14:paraId="6BCCCBBF" w14:textId="6C5BE089" w:rsidR="00626A05" w:rsidRPr="001F34A5" w:rsidRDefault="00626A05" w:rsidP="00626A05">
      <w:pPr>
        <w:spacing w:before="100" w:beforeAutospacing="1" w:after="100" w:afterAutospacing="1"/>
        <w:outlineLvl w:val="2"/>
        <w:rPr>
          <w:sz w:val="27"/>
          <w:szCs w:val="27"/>
        </w:rPr>
      </w:pPr>
      <w:r w:rsidRPr="001F34A5">
        <w:rPr>
          <w:sz w:val="27"/>
          <w:szCs w:val="27"/>
        </w:rPr>
        <w:t>Variables:</w:t>
      </w:r>
    </w:p>
    <w:p w14:paraId="2AB1451D" w14:textId="265843D0" w:rsidR="00626A05" w:rsidRPr="001F34A5" w:rsidRDefault="00000000" w:rsidP="00626A05">
      <w:pPr>
        <w:numPr>
          <w:ilvl w:val="0"/>
          <w:numId w:val="4"/>
        </w:numPr>
        <w:spacing w:before="100" w:beforeAutospacing="1" w:after="100" w:afterAutospacing="1"/>
      </w:pP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oMath>
      <w:r w:rsidR="00626A05" w:rsidRPr="001F34A5">
        <w:t>: Dummy variable that takes the value of 1 if the trade pair</w:t>
      </w:r>
      <w:r w:rsidR="003A4FAA" w:rsidRPr="001F34A5">
        <w:t xml:space="preserve"> </w:t>
      </w:r>
      <m:oMath>
        <m:r>
          <w:rPr>
            <w:rFonts w:ascii="Cambria Math" w:hAnsi="Cambria Math"/>
          </w:rPr>
          <m:t>(i,j)</m:t>
        </m:r>
      </m:oMath>
      <w:r w:rsidR="00626A05" w:rsidRPr="001F34A5">
        <w:t xml:space="preserve"> is part of a North-North PTA at time </w:t>
      </w:r>
      <m:oMath>
        <m:r>
          <w:rPr>
            <w:rFonts w:ascii="Cambria Math" w:hAnsi="Cambria Math"/>
          </w:rPr>
          <m:t>t</m:t>
        </m:r>
      </m:oMath>
      <w:r w:rsidR="00626A05" w:rsidRPr="001F34A5">
        <w:t>, and 0 otherwise.</w:t>
      </w:r>
    </w:p>
    <w:p w14:paraId="6DB54492" w14:textId="36FF81BD" w:rsidR="00626A05" w:rsidRPr="001F34A5" w:rsidRDefault="00000000" w:rsidP="00626A05">
      <w:pPr>
        <w:numPr>
          <w:ilvl w:val="0"/>
          <w:numId w:val="4"/>
        </w:numPr>
        <w:spacing w:before="100" w:beforeAutospacing="1" w:after="100" w:afterAutospacing="1"/>
      </w:pP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oMath>
      <w:r w:rsidR="00626A05" w:rsidRPr="001F34A5">
        <w:t xml:space="preserve">: Dummy variable that takes the value of 1 if the trade pair </w:t>
      </w:r>
      <m:oMath>
        <m:r>
          <w:rPr>
            <w:rFonts w:ascii="Cambria Math" w:hAnsi="Cambria Math"/>
          </w:rPr>
          <m:t>(i,j)</m:t>
        </m:r>
      </m:oMath>
      <w:r w:rsidR="00626A05" w:rsidRPr="001F34A5">
        <w:t xml:space="preserve"> was part of a North-North PTA at time </w:t>
      </w:r>
      <m:oMath>
        <m:r>
          <w:rPr>
            <w:rFonts w:ascii="Cambria Math" w:hAnsi="Cambria Math"/>
          </w:rPr>
          <m:t>t</m:t>
        </m:r>
      </m:oMath>
      <w:r w:rsidR="007A3863" w:rsidRPr="001F34A5">
        <w:rPr>
          <w:i/>
        </w:rPr>
        <w:t>-5</w:t>
      </w:r>
      <w:r w:rsidR="007A3863" w:rsidRPr="001F34A5">
        <w:t>,</w:t>
      </w:r>
      <w:r w:rsidR="00626A05" w:rsidRPr="001F34A5">
        <w:t xml:space="preserve"> and 0 otherwise.</w:t>
      </w:r>
    </w:p>
    <w:p w14:paraId="5E14897A" w14:textId="5A0511DB" w:rsidR="00626A05" w:rsidRPr="001F34A5" w:rsidRDefault="00000000" w:rsidP="00626A05">
      <w:pPr>
        <w:numPr>
          <w:ilvl w:val="0"/>
          <w:numId w:val="4"/>
        </w:numPr>
        <w:spacing w:before="100" w:beforeAutospacing="1" w:after="100" w:afterAutospacing="1"/>
      </w:pP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oMath>
      <w:r w:rsidR="00626A05" w:rsidRPr="001F34A5">
        <w:t xml:space="preserve">: Dummy variable that takes the value of 1 if the trade pair </w:t>
      </w:r>
      <m:oMath>
        <m:r>
          <w:rPr>
            <w:rFonts w:ascii="Cambria Math" w:hAnsi="Cambria Math"/>
          </w:rPr>
          <m:t>(i,j)</m:t>
        </m:r>
      </m:oMath>
      <w:r w:rsidR="007A3863" w:rsidRPr="001F34A5">
        <w:t xml:space="preserve"> </w:t>
      </w:r>
      <w:r w:rsidR="00626A05" w:rsidRPr="001F34A5">
        <w:t xml:space="preserve">is part of a North-South PTA at time </w:t>
      </w:r>
      <m:oMath>
        <m:r>
          <w:rPr>
            <w:rFonts w:ascii="Cambria Math" w:hAnsi="Cambria Math"/>
          </w:rPr>
          <m:t>t</m:t>
        </m:r>
      </m:oMath>
      <w:r w:rsidR="007A3863" w:rsidRPr="001F34A5">
        <w:t>,</w:t>
      </w:r>
      <w:r w:rsidR="00626A05" w:rsidRPr="001F34A5">
        <w:t xml:space="preserve"> and 0 otherwise.</w:t>
      </w:r>
    </w:p>
    <w:p w14:paraId="54EAF180" w14:textId="11E1BF34" w:rsidR="00626A05" w:rsidRPr="001F34A5" w:rsidRDefault="00000000" w:rsidP="00626A05">
      <w:pPr>
        <w:numPr>
          <w:ilvl w:val="0"/>
          <w:numId w:val="4"/>
        </w:numPr>
        <w:spacing w:before="100" w:beforeAutospacing="1" w:after="100" w:afterAutospacing="1"/>
      </w:pP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oMath>
      <w:r w:rsidR="00626A05" w:rsidRPr="001F34A5">
        <w:t xml:space="preserve">: Dummy variable that takes the value of 1 if the trade pair </w:t>
      </w:r>
      <m:oMath>
        <m:r>
          <w:rPr>
            <w:rFonts w:ascii="Cambria Math" w:hAnsi="Cambria Math"/>
          </w:rPr>
          <m:t>(i,j)</m:t>
        </m:r>
      </m:oMath>
      <w:r w:rsidR="00626A05" w:rsidRPr="001F34A5">
        <w:t xml:space="preserve"> was part of a North-South PTA at time </w:t>
      </w:r>
      <m:oMath>
        <m:r>
          <w:rPr>
            <w:rFonts w:ascii="Cambria Math" w:hAnsi="Cambria Math"/>
          </w:rPr>
          <m:t>t</m:t>
        </m:r>
      </m:oMath>
      <w:r w:rsidR="007A3863" w:rsidRPr="001F34A5">
        <w:rPr>
          <w:i/>
        </w:rPr>
        <w:t>-5</w:t>
      </w:r>
      <w:r w:rsidR="007A3863" w:rsidRPr="001F34A5">
        <w:t>,</w:t>
      </w:r>
      <w:r w:rsidR="00626A05" w:rsidRPr="001F34A5">
        <w:t xml:space="preserve"> and 0 otherwise.</w:t>
      </w:r>
    </w:p>
    <w:p w14:paraId="543F8FB8" w14:textId="51982F79" w:rsidR="00626A05" w:rsidRPr="001F34A5" w:rsidRDefault="00000000" w:rsidP="00626A05">
      <w:pPr>
        <w:numPr>
          <w:ilvl w:val="0"/>
          <w:numId w:val="4"/>
        </w:numPr>
        <w:spacing w:before="100" w:beforeAutospacing="1" w:after="100" w:afterAutospacing="1"/>
      </w:pP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oMath>
      <w:r w:rsidR="00626A05" w:rsidRPr="001F34A5">
        <w:t xml:space="preserve">: Dummy variable that takes the value of 1 if the trade pair </w:t>
      </w:r>
      <m:oMath>
        <m:r>
          <w:rPr>
            <w:rFonts w:ascii="Cambria Math" w:hAnsi="Cambria Math"/>
          </w:rPr>
          <m:t>(i,j)</m:t>
        </m:r>
      </m:oMath>
      <w:r w:rsidR="00626A05" w:rsidRPr="001F34A5">
        <w:t xml:space="preserve"> is part of a South-South PTA at time </w:t>
      </w:r>
      <m:oMath>
        <m:r>
          <w:rPr>
            <w:rFonts w:ascii="Cambria Math" w:hAnsi="Cambria Math"/>
          </w:rPr>
          <m:t>t</m:t>
        </m:r>
      </m:oMath>
      <w:r w:rsidR="007A3863" w:rsidRPr="001F34A5">
        <w:t>,</w:t>
      </w:r>
      <w:r w:rsidR="00626A05" w:rsidRPr="001F34A5">
        <w:t xml:space="preserve"> and 0 otherwise.</w:t>
      </w:r>
    </w:p>
    <w:p w14:paraId="257965FB" w14:textId="4BF90FCE" w:rsidR="00626A05" w:rsidRPr="001F34A5" w:rsidRDefault="00000000" w:rsidP="00626A05">
      <w:pPr>
        <w:numPr>
          <w:ilvl w:val="0"/>
          <w:numId w:val="4"/>
        </w:numPr>
        <w:spacing w:before="100" w:beforeAutospacing="1" w:after="100" w:afterAutospacing="1"/>
      </w:pP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oMath>
      <w:r w:rsidR="007A3863" w:rsidRPr="001F34A5">
        <w:t>:</w:t>
      </w:r>
      <w:r w:rsidR="00626A05" w:rsidRPr="001F34A5">
        <w:t xml:space="preserve">: Dummy variable that takes the value of 1 if the trade pair </w:t>
      </w:r>
      <m:oMath>
        <m:r>
          <w:rPr>
            <w:rFonts w:ascii="Cambria Math" w:hAnsi="Cambria Math"/>
          </w:rPr>
          <m:t>(i,j)</m:t>
        </m:r>
      </m:oMath>
      <w:r w:rsidR="00626A05" w:rsidRPr="001F34A5">
        <w:t xml:space="preserve"> was part of a South-South PTA at time </w:t>
      </w:r>
      <m:oMath>
        <m:r>
          <w:rPr>
            <w:rFonts w:ascii="Cambria Math" w:hAnsi="Cambria Math"/>
          </w:rPr>
          <m:t>t</m:t>
        </m:r>
      </m:oMath>
      <w:r w:rsidR="007A3863" w:rsidRPr="001F34A5">
        <w:rPr>
          <w:i/>
        </w:rPr>
        <w:t>-5</w:t>
      </w:r>
      <w:r w:rsidR="007A3863" w:rsidRPr="001F34A5">
        <w:t>,</w:t>
      </w:r>
      <w:r w:rsidR="00626A05" w:rsidRPr="001F34A5">
        <w:t xml:space="preserve"> and 0 otherwise.</w:t>
      </w:r>
    </w:p>
    <w:p w14:paraId="3D4A0362" w14:textId="77777777" w:rsidR="00626A05" w:rsidRPr="001F34A5" w:rsidRDefault="00626A05" w:rsidP="003A4FAA">
      <w:pPr>
        <w:spacing w:before="100" w:beforeAutospacing="1" w:after="100" w:afterAutospacing="1"/>
        <w:jc w:val="both"/>
      </w:pPr>
      <w:r w:rsidRPr="001F34A5">
        <w:t>These models allow you to capture the differentiated impacts of PTAs depending on whether they are between two developed countries (NN), between a developed and a developing country (NS), or between two developing countries (SS).</w:t>
      </w:r>
    </w:p>
    <w:p w14:paraId="0229EE12" w14:textId="77777777" w:rsidR="00FF108F" w:rsidRPr="001F34A5" w:rsidRDefault="00FF108F"/>
    <w:p w14:paraId="701E11A3" w14:textId="77777777" w:rsidR="00FF108F" w:rsidRPr="001F34A5" w:rsidRDefault="00FF108F">
      <w:pPr>
        <w:rPr>
          <w:lang w:val="en-GB"/>
        </w:rPr>
      </w:pPr>
    </w:p>
    <w:p w14:paraId="4EA9A005" w14:textId="77777777" w:rsidR="00626A05" w:rsidRPr="001F34A5" w:rsidRDefault="00626A05">
      <w:pPr>
        <w:rPr>
          <w:lang w:val="en-GB"/>
        </w:rPr>
      </w:pPr>
    </w:p>
    <w:p w14:paraId="5390E2E4" w14:textId="77777777" w:rsidR="00626A05" w:rsidRPr="001F34A5" w:rsidRDefault="00626A05">
      <w:pPr>
        <w:rPr>
          <w:lang w:val="en-GB"/>
        </w:rPr>
      </w:pPr>
    </w:p>
    <w:p w14:paraId="2790D63E" w14:textId="77777777" w:rsidR="00626A05" w:rsidRPr="001F34A5" w:rsidRDefault="00626A05">
      <w:pPr>
        <w:rPr>
          <w:lang w:val="en-GB"/>
        </w:rPr>
      </w:pPr>
    </w:p>
    <w:p w14:paraId="6CCCE67B" w14:textId="77777777" w:rsidR="00FF108F" w:rsidRPr="001F34A5" w:rsidRDefault="00FF108F">
      <w:pPr>
        <w:rPr>
          <w:lang w:val="en-GB"/>
        </w:rPr>
      </w:pPr>
    </w:p>
    <w:p w14:paraId="6A9F9906" w14:textId="5E26E41F" w:rsidR="00FF108F" w:rsidRPr="001F34A5" w:rsidRDefault="00FF108F">
      <w:pPr>
        <w:rPr>
          <w:lang w:val="en-GB"/>
        </w:rPr>
      </w:pPr>
      <w:r w:rsidRPr="001F34A5">
        <w:rPr>
          <w:lang w:val="en-GB"/>
        </w:rPr>
        <w:t>References</w:t>
      </w:r>
    </w:p>
    <w:p w14:paraId="4C924B08" w14:textId="77777777" w:rsidR="00FF108F" w:rsidRPr="001F34A5" w:rsidRDefault="00FF108F">
      <w:pPr>
        <w:rPr>
          <w:lang w:val="en-GB"/>
        </w:rPr>
      </w:pPr>
    </w:p>
    <w:p w14:paraId="70C63C41" w14:textId="33A3509B" w:rsidR="00640EC1" w:rsidRPr="001F34A5" w:rsidRDefault="00640EC1">
      <w:pPr>
        <w:rPr>
          <w:lang w:val="en-GB"/>
        </w:rPr>
      </w:pP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3E88"/>
    <w:rsid w:val="00016401"/>
    <w:rsid w:val="0005626F"/>
    <w:rsid w:val="000634A3"/>
    <w:rsid w:val="000837E7"/>
    <w:rsid w:val="00083E63"/>
    <w:rsid w:val="00085492"/>
    <w:rsid w:val="000971F4"/>
    <w:rsid w:val="000A22CD"/>
    <w:rsid w:val="000C58D0"/>
    <w:rsid w:val="000F6E05"/>
    <w:rsid w:val="00101FD2"/>
    <w:rsid w:val="00102A36"/>
    <w:rsid w:val="001166F0"/>
    <w:rsid w:val="001426EA"/>
    <w:rsid w:val="00157031"/>
    <w:rsid w:val="001578B9"/>
    <w:rsid w:val="00163F8B"/>
    <w:rsid w:val="00165605"/>
    <w:rsid w:val="00180CEA"/>
    <w:rsid w:val="00183F9F"/>
    <w:rsid w:val="00186159"/>
    <w:rsid w:val="001A4E37"/>
    <w:rsid w:val="001C443A"/>
    <w:rsid w:val="001D46E8"/>
    <w:rsid w:val="001F34A5"/>
    <w:rsid w:val="002112C8"/>
    <w:rsid w:val="00213A3C"/>
    <w:rsid w:val="00230FA1"/>
    <w:rsid w:val="002353E3"/>
    <w:rsid w:val="00256746"/>
    <w:rsid w:val="002640E0"/>
    <w:rsid w:val="00293A6F"/>
    <w:rsid w:val="002A192D"/>
    <w:rsid w:val="002A56A4"/>
    <w:rsid w:val="002B77F1"/>
    <w:rsid w:val="002E2BBE"/>
    <w:rsid w:val="002F4301"/>
    <w:rsid w:val="003008B9"/>
    <w:rsid w:val="00325959"/>
    <w:rsid w:val="0033656E"/>
    <w:rsid w:val="003765FB"/>
    <w:rsid w:val="003815C7"/>
    <w:rsid w:val="003A0806"/>
    <w:rsid w:val="003A3CBC"/>
    <w:rsid w:val="003A4FAA"/>
    <w:rsid w:val="003A70EE"/>
    <w:rsid w:val="003C2CD6"/>
    <w:rsid w:val="003C7E4C"/>
    <w:rsid w:val="003D0AD0"/>
    <w:rsid w:val="003D712F"/>
    <w:rsid w:val="003E43D3"/>
    <w:rsid w:val="003F14F5"/>
    <w:rsid w:val="003F1698"/>
    <w:rsid w:val="003F4803"/>
    <w:rsid w:val="004062E4"/>
    <w:rsid w:val="0041214D"/>
    <w:rsid w:val="00432E74"/>
    <w:rsid w:val="00437113"/>
    <w:rsid w:val="00445549"/>
    <w:rsid w:val="00451C52"/>
    <w:rsid w:val="004522B1"/>
    <w:rsid w:val="004728C3"/>
    <w:rsid w:val="00484B47"/>
    <w:rsid w:val="004C340C"/>
    <w:rsid w:val="004C461E"/>
    <w:rsid w:val="004D2834"/>
    <w:rsid w:val="004E3142"/>
    <w:rsid w:val="004E728C"/>
    <w:rsid w:val="00500EC1"/>
    <w:rsid w:val="00503287"/>
    <w:rsid w:val="00506386"/>
    <w:rsid w:val="00514330"/>
    <w:rsid w:val="0051576E"/>
    <w:rsid w:val="0053271C"/>
    <w:rsid w:val="00541393"/>
    <w:rsid w:val="00573624"/>
    <w:rsid w:val="00580735"/>
    <w:rsid w:val="00595013"/>
    <w:rsid w:val="005A55C7"/>
    <w:rsid w:val="005E0AC7"/>
    <w:rsid w:val="005E17E5"/>
    <w:rsid w:val="00625AE8"/>
    <w:rsid w:val="00626A05"/>
    <w:rsid w:val="0062725E"/>
    <w:rsid w:val="00640EC1"/>
    <w:rsid w:val="006544E4"/>
    <w:rsid w:val="00656F4C"/>
    <w:rsid w:val="00660712"/>
    <w:rsid w:val="00666CD8"/>
    <w:rsid w:val="006769FC"/>
    <w:rsid w:val="006831F3"/>
    <w:rsid w:val="00684BB4"/>
    <w:rsid w:val="00694B36"/>
    <w:rsid w:val="0069526D"/>
    <w:rsid w:val="006958E0"/>
    <w:rsid w:val="006A3929"/>
    <w:rsid w:val="006B5BD6"/>
    <w:rsid w:val="00702515"/>
    <w:rsid w:val="007129AC"/>
    <w:rsid w:val="0072636F"/>
    <w:rsid w:val="0074698D"/>
    <w:rsid w:val="007613E4"/>
    <w:rsid w:val="00773F75"/>
    <w:rsid w:val="00786687"/>
    <w:rsid w:val="007920E8"/>
    <w:rsid w:val="007A3863"/>
    <w:rsid w:val="007C65C1"/>
    <w:rsid w:val="007C76EA"/>
    <w:rsid w:val="007D7B2B"/>
    <w:rsid w:val="00810C3C"/>
    <w:rsid w:val="00811324"/>
    <w:rsid w:val="0082553E"/>
    <w:rsid w:val="00827432"/>
    <w:rsid w:val="00843359"/>
    <w:rsid w:val="008466E4"/>
    <w:rsid w:val="00853B30"/>
    <w:rsid w:val="00886B01"/>
    <w:rsid w:val="00895E61"/>
    <w:rsid w:val="008B0C99"/>
    <w:rsid w:val="008C2AC1"/>
    <w:rsid w:val="008C3834"/>
    <w:rsid w:val="008E0DB6"/>
    <w:rsid w:val="009209B3"/>
    <w:rsid w:val="009272E6"/>
    <w:rsid w:val="0094481A"/>
    <w:rsid w:val="00945DA6"/>
    <w:rsid w:val="00953D4B"/>
    <w:rsid w:val="0095715A"/>
    <w:rsid w:val="00963DC3"/>
    <w:rsid w:val="00983318"/>
    <w:rsid w:val="009A2535"/>
    <w:rsid w:val="009A2BF6"/>
    <w:rsid w:val="009C16CE"/>
    <w:rsid w:val="009C51CD"/>
    <w:rsid w:val="009E1268"/>
    <w:rsid w:val="00A00694"/>
    <w:rsid w:val="00A357D4"/>
    <w:rsid w:val="00A42C99"/>
    <w:rsid w:val="00A6743F"/>
    <w:rsid w:val="00A81289"/>
    <w:rsid w:val="00A842A9"/>
    <w:rsid w:val="00A93377"/>
    <w:rsid w:val="00A95D45"/>
    <w:rsid w:val="00AB0C90"/>
    <w:rsid w:val="00AC7D93"/>
    <w:rsid w:val="00AD2A82"/>
    <w:rsid w:val="00AE0BAF"/>
    <w:rsid w:val="00AE23B2"/>
    <w:rsid w:val="00AE4C3B"/>
    <w:rsid w:val="00B07293"/>
    <w:rsid w:val="00B1431E"/>
    <w:rsid w:val="00B3601A"/>
    <w:rsid w:val="00B4097C"/>
    <w:rsid w:val="00B45C2C"/>
    <w:rsid w:val="00B60210"/>
    <w:rsid w:val="00B63EDF"/>
    <w:rsid w:val="00B64566"/>
    <w:rsid w:val="00B718FF"/>
    <w:rsid w:val="00BA7398"/>
    <w:rsid w:val="00BC3389"/>
    <w:rsid w:val="00BD2B7C"/>
    <w:rsid w:val="00BE2205"/>
    <w:rsid w:val="00BE297A"/>
    <w:rsid w:val="00C01CB4"/>
    <w:rsid w:val="00C020C7"/>
    <w:rsid w:val="00C14216"/>
    <w:rsid w:val="00C62DBD"/>
    <w:rsid w:val="00C751E5"/>
    <w:rsid w:val="00C76F58"/>
    <w:rsid w:val="00CB0677"/>
    <w:rsid w:val="00CD5ACF"/>
    <w:rsid w:val="00CF15A8"/>
    <w:rsid w:val="00CF33D8"/>
    <w:rsid w:val="00D0052C"/>
    <w:rsid w:val="00D01714"/>
    <w:rsid w:val="00D03ED3"/>
    <w:rsid w:val="00D24A03"/>
    <w:rsid w:val="00D47AEA"/>
    <w:rsid w:val="00DA406D"/>
    <w:rsid w:val="00DF3FEB"/>
    <w:rsid w:val="00DF455C"/>
    <w:rsid w:val="00E02217"/>
    <w:rsid w:val="00E02B18"/>
    <w:rsid w:val="00E050F3"/>
    <w:rsid w:val="00E20014"/>
    <w:rsid w:val="00E25819"/>
    <w:rsid w:val="00E371D6"/>
    <w:rsid w:val="00E5671D"/>
    <w:rsid w:val="00E57218"/>
    <w:rsid w:val="00E6088F"/>
    <w:rsid w:val="00E64500"/>
    <w:rsid w:val="00E87279"/>
    <w:rsid w:val="00E93729"/>
    <w:rsid w:val="00E938B6"/>
    <w:rsid w:val="00EC24B6"/>
    <w:rsid w:val="00EC6D1A"/>
    <w:rsid w:val="00F02390"/>
    <w:rsid w:val="00F076D0"/>
    <w:rsid w:val="00F16D1E"/>
    <w:rsid w:val="00F409BE"/>
    <w:rsid w:val="00F4274E"/>
    <w:rsid w:val="00F55050"/>
    <w:rsid w:val="00F557F3"/>
    <w:rsid w:val="00F90AA4"/>
    <w:rsid w:val="00F91894"/>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spacing w:after="24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5</cp:revision>
  <dcterms:created xsi:type="dcterms:W3CDTF">2024-08-12T19:16:00Z</dcterms:created>
  <dcterms:modified xsi:type="dcterms:W3CDTF">2024-08-12T19:25:00Z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id="Df4h4z51"/&gt;&lt;style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