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E621" w14:textId="3A0465BA" w:rsidR="009E1268" w:rsidRPr="001F34A5" w:rsidRDefault="003A3CBC" w:rsidP="004650A6">
      <w:pPr>
        <w:spacing w:line="360" w:lineRule="auto"/>
        <w:jc w:val="both"/>
        <w:rPr>
          <w:lang w:val="en-GB"/>
        </w:rPr>
      </w:pPr>
      <w:r w:rsidRPr="001F34A5">
        <w:rPr>
          <w:lang w:val="en-GB"/>
        </w:rPr>
        <w:t>Based on</w:t>
      </w:r>
      <w:r w:rsidR="008C3834" w:rsidRPr="001F34A5">
        <w:rPr>
          <w:lang w:val="en-GB"/>
        </w:rPr>
        <w:t xml:space="preserve"> the </w:t>
      </w:r>
      <w:r w:rsidRPr="001F34A5">
        <w:rPr>
          <w:lang w:val="en-GB"/>
        </w:rPr>
        <w:t>theoretical and empirical best-practices found in the relevant literature, we employ the following gravity equation</w:t>
      </w:r>
      <w:r w:rsidR="00843359" w:rsidRPr="001F34A5">
        <w:rPr>
          <w:lang w:val="en-GB"/>
        </w:rPr>
        <w:t xml:space="preserve"> </w:t>
      </w:r>
      <w:r w:rsidR="00E02217" w:rsidRPr="001F34A5">
        <w:rPr>
          <w:lang w:val="en-GB"/>
        </w:rPr>
        <w:t xml:space="preserve">using a PPML estimator </w:t>
      </w:r>
      <w:r w:rsidR="003765FB" w:rsidRPr="001F34A5">
        <w:rPr>
          <w:lang w:val="en-GB"/>
        </w:rPr>
        <w:t xml:space="preserve">and a balanced panel data approach </w:t>
      </w:r>
      <w:r w:rsidR="00BC3389" w:rsidRPr="001F34A5">
        <w:rPr>
          <w:lang w:val="en-GB"/>
        </w:rPr>
        <w:t xml:space="preserve">with multiple exporters, multiple importers and time </w:t>
      </w:r>
      <w:r w:rsidR="00843359" w:rsidRPr="001F34A5">
        <w:rPr>
          <w:lang w:val="en-GB"/>
        </w:rPr>
        <w:t>as our benchmark</w:t>
      </w:r>
      <w:r w:rsidR="00541393" w:rsidRPr="001F34A5">
        <w:rPr>
          <w:lang w:val="en-GB"/>
        </w:rPr>
        <w:t xml:space="preserve"> model</w:t>
      </w:r>
      <w:r w:rsidRPr="001F34A5">
        <w:rPr>
          <w:lang w:val="en-GB"/>
        </w:rPr>
        <w:t>:</w:t>
      </w:r>
    </w:p>
    <w:p w14:paraId="780DFE81" w14:textId="77777777" w:rsidR="003A0806" w:rsidRPr="001F34A5" w:rsidRDefault="003A0806" w:rsidP="004650A6">
      <w:pPr>
        <w:spacing w:line="360" w:lineRule="auto"/>
        <w:jc w:val="both"/>
        <w:rPr>
          <w:lang w:val="en-GB"/>
        </w:rPr>
      </w:pPr>
    </w:p>
    <w:p w14:paraId="2F586045" w14:textId="2512DA70" w:rsidR="002E2BBE" w:rsidRPr="001F34A5" w:rsidRDefault="001F34A5" w:rsidP="004650A6">
      <w:pPr>
        <w:spacing w:line="360" w:lineRule="auto"/>
        <w:jc w:val="both"/>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Pr="001F34A5" w:rsidRDefault="003A0806" w:rsidP="004650A6">
      <w:pPr>
        <w:spacing w:line="360" w:lineRule="auto"/>
        <w:jc w:val="both"/>
      </w:pPr>
    </w:p>
    <w:p w14:paraId="6339370E" w14:textId="2865B9B7" w:rsidR="00B60210" w:rsidRPr="001F34A5" w:rsidRDefault="002E2BBE" w:rsidP="004650A6">
      <w:pPr>
        <w:spacing w:line="360" w:lineRule="auto"/>
        <w:jc w:val="both"/>
        <w:rPr>
          <w:lang w:val="en-GB"/>
        </w:rPr>
      </w:pPr>
      <w:r w:rsidRPr="001F34A5">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1F34A5">
        <w:rPr>
          <w:rFonts w:eastAsiaTheme="minorEastAsia"/>
          <w:lang w:val="en-GB"/>
        </w:rPr>
        <w:t xml:space="preserve"> </w:t>
      </w:r>
      <w:r w:rsidRPr="001F34A5">
        <w:t xml:space="preserve">denotes the value of exports from an origin country </w:t>
      </w:r>
      <m:oMath>
        <m:r>
          <w:rPr>
            <w:rFonts w:ascii="Cambria Math" w:hAnsi="Cambria Math"/>
          </w:rPr>
          <m:t>i</m:t>
        </m:r>
      </m:oMath>
      <w:r w:rsidR="003D0AD0" w:rsidRPr="001F34A5">
        <w:t xml:space="preserve"> </w:t>
      </w:r>
      <w:r w:rsidRPr="001F34A5">
        <w:t>to a destination country</w:t>
      </w:r>
      <w:r w:rsidR="003D0AD0" w:rsidRPr="001F34A5">
        <w:t xml:space="preserve"> </w:t>
      </w:r>
      <m:oMath>
        <m:r>
          <w:rPr>
            <w:rFonts w:ascii="Cambria Math" w:hAnsi="Cambria Math"/>
          </w:rPr>
          <m:t>j</m:t>
        </m:r>
      </m:oMath>
      <w:r w:rsidR="003D0AD0" w:rsidRPr="001F34A5">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sidRPr="001F34A5">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sidRPr="001F34A5">
        <w:rPr>
          <w:lang w:val="en-GB"/>
        </w:rPr>
        <w:t xml:space="preserve"> </w:t>
      </w:r>
      <w:r w:rsidR="0033656E" w:rsidRPr="001F34A5">
        <w:t xml:space="preserve">are, respectively, exporter-time and importer-time fixed-effects;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sidRPr="001F34A5">
        <w:rPr>
          <w:lang w:val="en-GB"/>
        </w:rPr>
        <w:t xml:space="preserve"> </w:t>
      </w:r>
      <w:r w:rsidR="0033656E" w:rsidRPr="001F34A5">
        <w:t>is a country-pair fixed-</w:t>
      </w:r>
      <w:r w:rsidR="00E25819" w:rsidRPr="001F34A5">
        <w:t>effect;</w:t>
      </w:r>
      <w:r w:rsidR="0033656E" w:rsidRPr="001F34A5">
        <w:t xml:space="preserve">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oMath>
      <w:r w:rsidR="0033656E" w:rsidRPr="001F34A5">
        <w:t xml:space="preserve"> </w:t>
      </w:r>
      <w:r w:rsidR="0033656E" w:rsidRPr="001F34A5">
        <w:rPr>
          <w:lang w:val="en-GB"/>
        </w:rPr>
        <w:t xml:space="preserve">and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oMath>
      <w:r w:rsidR="0033656E" w:rsidRPr="001F34A5">
        <w:rPr>
          <w:lang w:val="en-GB"/>
        </w:rPr>
        <w:t xml:space="preserve"> are our main variables of interest, which, respectively indicate if </w:t>
      </w:r>
      <m:oMath>
        <m:r>
          <w:rPr>
            <w:rFonts w:ascii="Cambria Math" w:hAnsi="Cambria Math"/>
          </w:rPr>
          <m:t>i</m:t>
        </m:r>
      </m:oMath>
      <w:r w:rsidR="0033656E" w:rsidRPr="001F34A5">
        <w:t xml:space="preserve"> and </w:t>
      </w:r>
      <m:oMath>
        <m:r>
          <w:rPr>
            <w:rFonts w:ascii="Cambria Math" w:hAnsi="Cambria Math"/>
          </w:rPr>
          <m:t>j</m:t>
        </m:r>
      </m:oMath>
      <w:r w:rsidR="0033656E" w:rsidRPr="001F34A5">
        <w:rPr>
          <w:rFonts w:eastAsiaTheme="minorEastAsia"/>
        </w:rPr>
        <w:t xml:space="preserve"> are members of a PTA at time </w:t>
      </w:r>
      <m:oMath>
        <m:r>
          <w:rPr>
            <w:rFonts w:ascii="Cambria Math" w:eastAsiaTheme="minorEastAsia" w:hAnsi="Cambria Math"/>
          </w:rPr>
          <m:t>t</m:t>
        </m:r>
      </m:oMath>
      <w:r w:rsidR="0033656E" w:rsidRPr="001F34A5">
        <w:rPr>
          <w:rFonts w:eastAsiaTheme="minorEastAsia"/>
        </w:rPr>
        <w:t xml:space="preserve"> and, to account for potential “phase-in” effects </w:t>
      </w:r>
      <w:r w:rsidR="00506386" w:rsidRPr="001F34A5">
        <w:rPr>
          <w:rFonts w:eastAsiaTheme="minorEastAsia"/>
        </w:rPr>
        <w:t xml:space="preserve">over time </w:t>
      </w:r>
      <w:r w:rsidR="0033656E" w:rsidRPr="001F34A5">
        <w:rPr>
          <w:rFonts w:eastAsiaTheme="minorEastAsia"/>
        </w:rPr>
        <w:t xml:space="preserve">of the PTA,  at time </w:t>
      </w:r>
      <m:oMath>
        <m:r>
          <w:rPr>
            <w:rFonts w:ascii="Cambria Math" w:hAnsi="Cambria Math"/>
          </w:rPr>
          <m:t>t-5</m:t>
        </m:r>
      </m:oMath>
      <w:r w:rsidR="0033656E" w:rsidRPr="001F34A5">
        <w:t>;</w:t>
      </w:r>
      <w:r w:rsidR="00B60210" w:rsidRPr="001F34A5">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sidRPr="001F34A5">
        <w:rPr>
          <w:lang w:val="en-GB"/>
        </w:rPr>
        <w:t xml:space="preserve"> </w:t>
      </w:r>
      <w:r w:rsidR="00B60210" w:rsidRPr="001F34A5">
        <w:t>is a set of dummies that equal 1 for international trade and 0 for domestic trade observations at each time</w:t>
      </w:r>
      <w:r w:rsidR="00B60210" w:rsidRPr="001F34A5">
        <w:rPr>
          <w:rFonts w:eastAsiaTheme="minorEastAsia"/>
        </w:rPr>
        <w:t xml:space="preserve"> </w:t>
      </w:r>
      <m:oMath>
        <m:r>
          <w:rPr>
            <w:rFonts w:ascii="Cambria Math" w:eastAsiaTheme="minorEastAsia" w:hAnsi="Cambria Math"/>
          </w:rPr>
          <m:t>t</m:t>
        </m:r>
      </m:oMath>
      <w:r w:rsidR="0094481A" w:rsidRPr="001F34A5">
        <w:rPr>
          <w:rFonts w:eastAsiaTheme="minorEastAsia"/>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sidRPr="001F34A5">
        <w:rPr>
          <w:rFonts w:eastAsiaTheme="minorEastAsia"/>
          <w:lang w:val="en-GB"/>
        </w:rPr>
        <w:t xml:space="preserve"> </w:t>
      </w:r>
      <w:r w:rsidR="0094481A" w:rsidRPr="001F34A5">
        <w:rPr>
          <w:rFonts w:eastAsiaTheme="minorEastAsia"/>
        </w:rPr>
        <w:t>is an error term</w:t>
      </w:r>
      <w:r w:rsidR="00B60210" w:rsidRPr="001F34A5">
        <w:t xml:space="preserve">. </w:t>
      </w:r>
    </w:p>
    <w:p w14:paraId="6CCCE67B" w14:textId="77777777" w:rsidR="00FF108F" w:rsidRPr="002663E9" w:rsidRDefault="00FF108F">
      <w:pPr>
        <w:rPr>
          <w:lang w:val="en-GB"/>
        </w:rPr>
      </w:pP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00723EC9" w14:textId="77777777" w:rsidR="00A7428A" w:rsidRPr="00A7428A" w:rsidRDefault="00D56B41" w:rsidP="00A7428A">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A7428A" w:rsidRPr="00A7428A">
        <w:rPr>
          <w:lang w:val="en-US"/>
        </w:rPr>
        <w:t xml:space="preserve">Anderson, James E. 1979. “A Theoretical Foundation for the Gravity Equation.” </w:t>
      </w:r>
      <w:r w:rsidR="00A7428A" w:rsidRPr="00A7428A">
        <w:rPr>
          <w:i/>
          <w:iCs/>
          <w:lang w:val="en-US"/>
        </w:rPr>
        <w:t>The American Economic Review</w:t>
      </w:r>
      <w:r w:rsidR="00A7428A" w:rsidRPr="00A7428A">
        <w:rPr>
          <w:lang w:val="en-US"/>
        </w:rPr>
        <w:t xml:space="preserve"> 69 (1): 106–16.</w:t>
      </w:r>
    </w:p>
    <w:p w14:paraId="39DF4C0F" w14:textId="77777777" w:rsidR="00A7428A" w:rsidRPr="00A7428A" w:rsidRDefault="00A7428A" w:rsidP="00A7428A">
      <w:pPr>
        <w:pStyle w:val="Bibliography"/>
        <w:rPr>
          <w:lang w:val="en-US"/>
        </w:rPr>
      </w:pPr>
      <w:r w:rsidRPr="00A7428A">
        <w:rPr>
          <w:lang w:val="en-US"/>
        </w:rPr>
        <w:t xml:space="preserve">Anderson, James E., and Eric van Wincoop. 2003. “Gravity with Gravitas: A Solution to the Border Puzzle.” </w:t>
      </w:r>
      <w:r w:rsidRPr="00A7428A">
        <w:rPr>
          <w:i/>
          <w:iCs/>
          <w:lang w:val="en-US"/>
        </w:rPr>
        <w:t>The American Economic Review</w:t>
      </w:r>
      <w:r w:rsidRPr="00A7428A">
        <w:rPr>
          <w:lang w:val="en-US"/>
        </w:rPr>
        <w:t xml:space="preserve"> 93 (1): 170–92.</w:t>
      </w:r>
    </w:p>
    <w:p w14:paraId="4675A747" w14:textId="77777777" w:rsidR="00A7428A" w:rsidRPr="00A7428A" w:rsidRDefault="00A7428A" w:rsidP="00A7428A">
      <w:pPr>
        <w:pStyle w:val="Bibliography"/>
        <w:rPr>
          <w:lang w:val="en-US"/>
        </w:rPr>
      </w:pPr>
      <w:r w:rsidRPr="00A7428A">
        <w:rPr>
          <w:lang w:val="en-US"/>
        </w:rPr>
        <w:t xml:space="preserve">Anderson, James E., and Yoto V. Yotov. 2016. “Terms of Trade and Global Efficiency Effects of Free Trade Agreements, 1990–2002.” </w:t>
      </w:r>
      <w:r w:rsidRPr="00A7428A">
        <w:rPr>
          <w:i/>
          <w:iCs/>
          <w:lang w:val="en-US"/>
        </w:rPr>
        <w:t>Journal of International Economics</w:t>
      </w:r>
      <w:r w:rsidRPr="00A7428A">
        <w:rPr>
          <w:lang w:val="en-US"/>
        </w:rPr>
        <w:t xml:space="preserve"> 99 (March):279–98. https://doi.org/10.1016/j.jinteco.2015.10.006.</w:t>
      </w:r>
    </w:p>
    <w:p w14:paraId="2A9F2D34" w14:textId="77777777" w:rsidR="00A7428A" w:rsidRPr="00A7428A" w:rsidRDefault="00A7428A" w:rsidP="00A7428A">
      <w:pPr>
        <w:pStyle w:val="Bibliography"/>
        <w:rPr>
          <w:lang w:val="en-US"/>
        </w:rPr>
      </w:pPr>
      <w:r w:rsidRPr="00A7428A">
        <w:rPr>
          <w:lang w:val="en-US"/>
        </w:rPr>
        <w:t xml:space="preserve">Baier, Scott L., and Jeffrey H. Bergstrand. 2007. “Do Free Trade Agreements Actually Increase Members’ International Trade?” </w:t>
      </w:r>
      <w:r w:rsidRPr="00A7428A">
        <w:rPr>
          <w:i/>
          <w:iCs/>
          <w:lang w:val="en-US"/>
        </w:rPr>
        <w:t>Journal of International Economics</w:t>
      </w:r>
      <w:r w:rsidRPr="00A7428A">
        <w:rPr>
          <w:lang w:val="en-US"/>
        </w:rPr>
        <w:t xml:space="preserve"> 71 (1): 72–95. https://doi.org/10.1016/j.jinteco.2006.02.005.</w:t>
      </w:r>
    </w:p>
    <w:p w14:paraId="3795F8A3" w14:textId="77777777" w:rsidR="00A7428A" w:rsidRPr="00A7428A" w:rsidRDefault="00A7428A" w:rsidP="00A7428A">
      <w:pPr>
        <w:pStyle w:val="Bibliography"/>
        <w:rPr>
          <w:lang w:val="en-US"/>
        </w:rPr>
      </w:pPr>
      <w:r w:rsidRPr="00A7428A">
        <w:rPr>
          <w:lang w:val="en-US"/>
        </w:rPr>
        <w:t xml:space="preserve">Baier, Scott L., Yoto V. Yotov, and Thomas Zylkin. 2019. “On the Widely Differing Effects of Free Trade Agreements: Lessons from Twenty Years of Trade Integration.” </w:t>
      </w:r>
      <w:r w:rsidRPr="00A7428A">
        <w:rPr>
          <w:i/>
          <w:iCs/>
          <w:lang w:val="en-US"/>
        </w:rPr>
        <w:t>Journal of International Economics</w:t>
      </w:r>
      <w:r w:rsidRPr="00A7428A">
        <w:rPr>
          <w:lang w:val="en-US"/>
        </w:rPr>
        <w:t xml:space="preserve"> 116 (January):206–26. https://doi.org/10.1016/j.jinteco.2018.11.002.</w:t>
      </w:r>
    </w:p>
    <w:p w14:paraId="0F704967" w14:textId="77777777" w:rsidR="00A7428A" w:rsidRPr="00A7428A" w:rsidRDefault="00A7428A" w:rsidP="00A7428A">
      <w:pPr>
        <w:pStyle w:val="Bibliography"/>
        <w:rPr>
          <w:lang w:val="en-US"/>
        </w:rPr>
      </w:pPr>
      <w:r w:rsidRPr="00A7428A">
        <w:rPr>
          <w:lang w:val="es-ES"/>
        </w:rPr>
        <w:t xml:space="preserve">Bastos, Paulo, and Joana Silva. </w:t>
      </w:r>
      <w:r w:rsidRPr="00A7428A">
        <w:rPr>
          <w:lang w:val="en-US"/>
        </w:rPr>
        <w:t xml:space="preserve">2010. “The Quality of a Firm’s Exports: Where You Export to Matters.” </w:t>
      </w:r>
      <w:r w:rsidRPr="00A7428A">
        <w:rPr>
          <w:i/>
          <w:iCs/>
          <w:lang w:val="en-US"/>
        </w:rPr>
        <w:t>Journal of International Economics</w:t>
      </w:r>
      <w:r w:rsidRPr="00A7428A">
        <w:rPr>
          <w:lang w:val="en-US"/>
        </w:rPr>
        <w:t xml:space="preserve"> 82 (2): 99–111. https://doi.org/10.1016/j.jinteco.2010.07.001.</w:t>
      </w:r>
    </w:p>
    <w:p w14:paraId="61BCB322" w14:textId="77777777" w:rsidR="00A7428A" w:rsidRPr="00A7428A" w:rsidRDefault="00A7428A" w:rsidP="00A7428A">
      <w:pPr>
        <w:pStyle w:val="Bibliography"/>
        <w:rPr>
          <w:lang w:val="en-US"/>
        </w:rPr>
      </w:pPr>
      <w:r w:rsidRPr="00A7428A">
        <w:rPr>
          <w:lang w:val="en-US"/>
        </w:rPr>
        <w:t xml:space="preserve">Bergstrand, Jeffrey H., Mario Larch, and Yoto V. Yotov. 2015. “Economic Integration Agreements, Border Effects, and Distance Elasticities in the Gravity Equation.” </w:t>
      </w:r>
      <w:r w:rsidRPr="00A7428A">
        <w:rPr>
          <w:i/>
          <w:iCs/>
          <w:lang w:val="en-US"/>
        </w:rPr>
        <w:t>European Economic Review</w:t>
      </w:r>
      <w:r w:rsidRPr="00A7428A">
        <w:rPr>
          <w:lang w:val="en-US"/>
        </w:rPr>
        <w:t xml:space="preserve"> 78 (August):307–27. https://doi.org/10.1016/j.euroecorev.2015.06.003.</w:t>
      </w:r>
    </w:p>
    <w:p w14:paraId="1F30FA77" w14:textId="77777777" w:rsidR="00A7428A" w:rsidRPr="00A7428A" w:rsidRDefault="00A7428A" w:rsidP="00A7428A">
      <w:pPr>
        <w:pStyle w:val="Bibliography"/>
        <w:rPr>
          <w:lang w:val="en-US"/>
        </w:rPr>
      </w:pPr>
      <w:r w:rsidRPr="00A7428A">
        <w:rPr>
          <w:lang w:val="en-US"/>
        </w:rPr>
        <w:lastRenderedPageBreak/>
        <w:t xml:space="preserve">Chatzilazarou, Lazaros Antonios, and Dimitrios Dadakas. 2023. “Trade Potential in European Union Manufacturing.” </w:t>
      </w:r>
      <w:r w:rsidRPr="00A7428A">
        <w:rPr>
          <w:i/>
          <w:iCs/>
          <w:lang w:val="en-US"/>
        </w:rPr>
        <w:t>Journal of Economic Studies</w:t>
      </w:r>
      <w:r w:rsidRPr="00A7428A">
        <w:rPr>
          <w:lang w:val="en-US"/>
        </w:rPr>
        <w:t xml:space="preserve"> 51 (5): 1144–63. https://doi.org/10.1108/JES-06-2023-0292.</w:t>
      </w:r>
    </w:p>
    <w:p w14:paraId="35057C46" w14:textId="77777777" w:rsidR="00A7428A" w:rsidRPr="00A7428A" w:rsidRDefault="00A7428A" w:rsidP="00A7428A">
      <w:pPr>
        <w:pStyle w:val="Bibliography"/>
        <w:rPr>
          <w:lang w:val="en-US"/>
        </w:rPr>
      </w:pPr>
      <w:r w:rsidRPr="00A7428A">
        <w:rPr>
          <w:lang w:val="en-US"/>
        </w:rPr>
        <w:t xml:space="preserve">Dahi, Omar S., and Firat Demir. 2017. “South-South and North-South Economic Exchanges: Does It Matter Who Is Exchanging What and with Whom?” </w:t>
      </w:r>
      <w:r w:rsidRPr="00A7428A">
        <w:rPr>
          <w:i/>
          <w:iCs/>
          <w:lang w:val="en-US"/>
        </w:rPr>
        <w:t>Journal of Economic Surveys</w:t>
      </w:r>
      <w:r w:rsidRPr="00A7428A">
        <w:rPr>
          <w:lang w:val="en-US"/>
        </w:rPr>
        <w:t xml:space="preserve"> 31 (5): 1449–86. https://doi.org/10.1111/joes.12225.</w:t>
      </w:r>
    </w:p>
    <w:p w14:paraId="2E7D697D" w14:textId="77777777" w:rsidR="00A7428A" w:rsidRPr="00A7428A" w:rsidRDefault="00A7428A" w:rsidP="00A7428A">
      <w:pPr>
        <w:pStyle w:val="Bibliography"/>
        <w:rPr>
          <w:lang w:val="en-US"/>
        </w:rPr>
      </w:pPr>
      <w:r w:rsidRPr="00A7428A">
        <w:rPr>
          <w:lang w:val="en-US"/>
        </w:rPr>
        <w:t xml:space="preserve">Dai, Mian, Yoto V. Yotov, and Thomas Zylkin. 2014. “On the Trade-Diversion Effects of Free Trade Agreements.” </w:t>
      </w:r>
      <w:r w:rsidRPr="00A7428A">
        <w:rPr>
          <w:i/>
          <w:iCs/>
          <w:lang w:val="en-US"/>
        </w:rPr>
        <w:t>Economics Letters</w:t>
      </w:r>
      <w:r w:rsidRPr="00A7428A">
        <w:rPr>
          <w:lang w:val="en-US"/>
        </w:rPr>
        <w:t xml:space="preserve"> 122 (2): 321–25. https://doi.org/10.1016/j.econlet.2013.12.024.</w:t>
      </w:r>
    </w:p>
    <w:p w14:paraId="1C44B502" w14:textId="77777777" w:rsidR="00A7428A" w:rsidRPr="00A7428A" w:rsidRDefault="00A7428A" w:rsidP="00A7428A">
      <w:pPr>
        <w:pStyle w:val="Bibliography"/>
        <w:rPr>
          <w:lang w:val="en-US"/>
        </w:rPr>
      </w:pPr>
      <w:r w:rsidRPr="00A7428A">
        <w:rPr>
          <w:lang w:val="en-US"/>
        </w:rPr>
        <w:t>Dür, Andreas, Leonardo Baccini and Manfred Elsig. 2014. “The Design of International Trade Agreements: Introducing a New Database.” The Review of International Organizations. https://www.designoftradeagreements.org/downloads/.</w:t>
      </w:r>
    </w:p>
    <w:p w14:paraId="12E0C3FA" w14:textId="77777777" w:rsidR="00A7428A" w:rsidRPr="00A7428A" w:rsidRDefault="00A7428A" w:rsidP="00A7428A">
      <w:pPr>
        <w:pStyle w:val="Bibliography"/>
        <w:rPr>
          <w:lang w:val="en-US"/>
        </w:rPr>
      </w:pPr>
      <w:r w:rsidRPr="00A7428A">
        <w:rPr>
          <w:lang w:val="en-US"/>
        </w:rPr>
        <w:t>Heid, Benedikt, Mario Larch, and Yoto V. Yotov. 2017. “Estimating the Effects of Non-Discriminatory Trade Policies within Structural Gravity Models.” SSRN Scholarly Paper. Rochester, NY. https://doi.org/10.2139/ssrn.3100014.</w:t>
      </w:r>
    </w:p>
    <w:p w14:paraId="53CB14C7" w14:textId="77777777" w:rsidR="00A7428A" w:rsidRPr="00A7428A" w:rsidRDefault="00A7428A" w:rsidP="00A7428A">
      <w:pPr>
        <w:pStyle w:val="Bibliography"/>
        <w:rPr>
          <w:lang w:val="en-US"/>
        </w:rPr>
      </w:pPr>
      <w:r w:rsidRPr="00A7428A">
        <w:rPr>
          <w:lang w:val="en-US"/>
        </w:rPr>
        <w:t xml:space="preserve">Latzer, Hélène, and Florian Mayneris. 2021. “Average Income, Income Inequality and Export Unit Values.” </w:t>
      </w:r>
      <w:r w:rsidRPr="00A7428A">
        <w:rPr>
          <w:i/>
          <w:iCs/>
          <w:lang w:val="en-US"/>
        </w:rPr>
        <w:t>Journal of Economic Behavior &amp; Organization</w:t>
      </w:r>
      <w:r w:rsidRPr="00A7428A">
        <w:rPr>
          <w:lang w:val="en-US"/>
        </w:rPr>
        <w:t xml:space="preserve"> 185 (May):625–46. https://doi.org/10.1016/j.jebo.2021.03.002.</w:t>
      </w:r>
    </w:p>
    <w:p w14:paraId="30E8F0A8" w14:textId="77777777" w:rsidR="00A7428A" w:rsidRPr="00A7428A" w:rsidRDefault="00A7428A" w:rsidP="00A7428A">
      <w:pPr>
        <w:pStyle w:val="Bibliography"/>
        <w:rPr>
          <w:lang w:val="en-US"/>
        </w:rPr>
      </w:pPr>
      <w:r w:rsidRPr="00A7428A">
        <w:rPr>
          <w:lang w:val="en-US"/>
        </w:rPr>
        <w:t xml:space="preserve">Manova, Kalina, and Zhiwei Zhang. 2012. “Export Prices Across Firms and Destinations.” </w:t>
      </w:r>
      <w:r w:rsidRPr="00A7428A">
        <w:rPr>
          <w:i/>
          <w:iCs/>
          <w:lang w:val="en-US"/>
        </w:rPr>
        <w:t>The Quarterly Journal of Economics</w:t>
      </w:r>
      <w:r w:rsidRPr="00A7428A">
        <w:rPr>
          <w:lang w:val="en-US"/>
        </w:rPr>
        <w:t xml:space="preserve"> 127 (1): 379–436.</w:t>
      </w:r>
    </w:p>
    <w:p w14:paraId="7365391E" w14:textId="77777777" w:rsidR="00A7428A" w:rsidRPr="00A7428A" w:rsidRDefault="00A7428A" w:rsidP="00A7428A">
      <w:pPr>
        <w:pStyle w:val="Bibliography"/>
        <w:rPr>
          <w:lang w:val="en-US"/>
        </w:rPr>
      </w:pPr>
      <w:r w:rsidRPr="00A7428A">
        <w:rPr>
          <w:lang w:val="en-US"/>
        </w:rPr>
        <w:t xml:space="preserve">Olivero, María Pía, and Yoto V. Yotov. 2012. “Dynamic Gravity: Endogenous Country Size and Asset Accumulation.” </w:t>
      </w:r>
      <w:r w:rsidRPr="00A7428A">
        <w:rPr>
          <w:i/>
          <w:iCs/>
          <w:lang w:val="en-US"/>
        </w:rPr>
        <w:t>Canadian Journal of Economics/Revue Canadienne d’économique</w:t>
      </w:r>
      <w:r w:rsidRPr="00A7428A">
        <w:rPr>
          <w:lang w:val="en-US"/>
        </w:rPr>
        <w:t xml:space="preserve"> 45 (1): 64–92. https://doi.org/10.1111/j.1540-5982.2011.01687.x.</w:t>
      </w:r>
    </w:p>
    <w:p w14:paraId="0D4D16CF" w14:textId="77777777" w:rsidR="00A7428A" w:rsidRPr="00A7428A" w:rsidRDefault="00A7428A" w:rsidP="00A7428A">
      <w:pPr>
        <w:pStyle w:val="Bibliography"/>
        <w:rPr>
          <w:lang w:val="en-US"/>
        </w:rPr>
      </w:pPr>
      <w:r w:rsidRPr="00A7428A">
        <w:rPr>
          <w:lang w:val="en-US"/>
        </w:rPr>
        <w:t xml:space="preserve">Santos Silva, J. M. C., and Silvana Tenreyro. 2011. “Further Simulation Evidence on the Performance of the Poisson Pseudo-Maximum Likelihood Estimator.” </w:t>
      </w:r>
      <w:r w:rsidRPr="00A7428A">
        <w:rPr>
          <w:i/>
          <w:iCs/>
          <w:lang w:val="en-US"/>
        </w:rPr>
        <w:t>Economics Letters</w:t>
      </w:r>
      <w:r w:rsidRPr="00A7428A">
        <w:rPr>
          <w:lang w:val="en-US"/>
        </w:rPr>
        <w:t xml:space="preserve"> 112 (2): 220–22. https://doi.org/10.1016/j.econlet.2011.05.008.</w:t>
      </w:r>
    </w:p>
    <w:p w14:paraId="6170ADAF" w14:textId="77777777" w:rsidR="00A7428A" w:rsidRPr="00A7428A" w:rsidRDefault="00A7428A" w:rsidP="00A7428A">
      <w:pPr>
        <w:pStyle w:val="Bibliography"/>
        <w:rPr>
          <w:lang w:val="en-US"/>
        </w:rPr>
      </w:pPr>
      <w:r w:rsidRPr="00A7428A">
        <w:rPr>
          <w:lang w:val="en-US"/>
        </w:rPr>
        <w:t xml:space="preserve">Silva, J. M. C. Santos, and Silvana Tenreyro. 2006. “The Log of Gravity.” </w:t>
      </w:r>
      <w:r w:rsidRPr="00A7428A">
        <w:rPr>
          <w:i/>
          <w:iCs/>
          <w:lang w:val="en-US"/>
        </w:rPr>
        <w:t>The Review of Economics and Statistics</w:t>
      </w:r>
      <w:r w:rsidRPr="00A7428A">
        <w:rPr>
          <w:lang w:val="en-US"/>
        </w:rPr>
        <w:t xml:space="preserve"> 88 (4): 641–58.</w:t>
      </w:r>
    </w:p>
    <w:p w14:paraId="3AC3EC0A" w14:textId="77777777" w:rsidR="00A7428A" w:rsidRPr="00A7428A" w:rsidRDefault="00A7428A" w:rsidP="00A7428A">
      <w:pPr>
        <w:pStyle w:val="Bibliography"/>
        <w:rPr>
          <w:lang w:val="en-US"/>
        </w:rPr>
      </w:pPr>
      <w:r w:rsidRPr="00A7428A">
        <w:rPr>
          <w:lang w:val="en-US"/>
        </w:rPr>
        <w:t>Thierry Mayer, Gianluca Santoni, Vincent Vicard. 2023. “The CEPII Trade and Production Database (TradeProd).” http://www.cepii.fr/CEPII/en/bdd_modele/bdd_modele_item.asp?id=5.</w:t>
      </w:r>
    </w:p>
    <w:p w14:paraId="094310D4" w14:textId="77777777" w:rsidR="00A7428A" w:rsidRPr="00A7428A" w:rsidRDefault="00A7428A" w:rsidP="00A7428A">
      <w:pPr>
        <w:pStyle w:val="Bibliography"/>
        <w:rPr>
          <w:lang w:val="en-US"/>
        </w:rPr>
      </w:pPr>
      <w:r w:rsidRPr="00A7428A">
        <w:rPr>
          <w:lang w:val="en-US"/>
        </w:rPr>
        <w:t xml:space="preserve">Yotov, Yoto V. 2012. “A Simple Solution to the Distance Puzzle in International Trade.” </w:t>
      </w:r>
      <w:r w:rsidRPr="00A7428A">
        <w:rPr>
          <w:i/>
          <w:iCs/>
          <w:lang w:val="en-US"/>
        </w:rPr>
        <w:t>Economics Letters</w:t>
      </w:r>
      <w:r w:rsidRPr="00A7428A">
        <w:rPr>
          <w:lang w:val="en-US"/>
        </w:rPr>
        <w:t xml:space="preserve"> 117 (3): 794–98. https://doi.org/10.1016/j.econlet.2012.08.032.</w:t>
      </w:r>
    </w:p>
    <w:p w14:paraId="6CE95CA5" w14:textId="77777777" w:rsidR="00A7428A" w:rsidRPr="00A7428A" w:rsidRDefault="00A7428A" w:rsidP="00A7428A">
      <w:pPr>
        <w:pStyle w:val="Bibliography"/>
        <w:rPr>
          <w:lang w:val="en-US"/>
        </w:rPr>
      </w:pPr>
      <w:r w:rsidRPr="00A7428A">
        <w:rPr>
          <w:lang w:val="en-US"/>
        </w:rPr>
        <w:t xml:space="preserve">Yotov, Yoto V., Roberta Piermartini, José-Antonio Monteiro, and Mario Larch. 2016. </w:t>
      </w:r>
      <w:r w:rsidRPr="00A7428A">
        <w:rPr>
          <w:i/>
          <w:iCs/>
          <w:lang w:val="en-US"/>
        </w:rPr>
        <w:t>An Advanced Guide to Trade Policy Analysis​: The Structural Gravity Model</w:t>
      </w:r>
      <w:r w:rsidRPr="00A7428A">
        <w:rPr>
          <w:lang w:val="en-US"/>
        </w:rPr>
        <w:t>. WTO. https://doi.org/10.30875/abc0167e-en.</w:t>
      </w:r>
    </w:p>
    <w:p w14:paraId="70C63C41" w14:textId="5CF537B0"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07EC"/>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2024-08-14T13:39:00Z</dcterms:created>
  <dcterms:modified xsi:type="dcterms:W3CDTF">2024-08-14T13:52:00Z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