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CCE67B" w14:textId="1E5A5744" w:rsidR="00FF108F" w:rsidRPr="0057200A" w:rsidRDefault="00A37DDA" w:rsidP="0057200A">
      <w:pPr>
        <w:spacing w:before="100" w:beforeAutospacing="1" w:after="100" w:afterAutospacing="1" w:line="360" w:lineRule="auto"/>
        <w:jc w:val="both"/>
      </w:pPr>
      <w:r>
        <w:t>Inspired by</w:t>
      </w:r>
      <w:r w:rsidR="00F066AC">
        <w:t xml:space="preserve"> other strands of the international trade literature, </w:t>
      </w:r>
      <w:r w:rsidR="00C95CE0">
        <w:t>we also test our models using “Unit Values” of the products exported, by dividing the total value exported by the total weight exported in kilograms</w:t>
      </w:r>
      <w:r w:rsidR="00E20675">
        <w:t xml:space="preserve"> </w:t>
      </w:r>
      <w:r w:rsidR="00A8005A">
        <w:fldChar w:fldCharType="begin"/>
      </w:r>
      <w:r w:rsidR="00A8005A">
        <w:instrText xml:space="preserve"> ADDIN ZOTERO_ITEM CSL_CITATION {"citationID":"iZjCXtUF","properties":{"formattedCitation":"(Latzer and Mayneris 2021; Manova and Zhang 2012; Bastos and Silva 2010)","plainCitation":"(Latzer and Mayneris 2021; Manova and Zhang 2012; Bastos and Silva 2010)","noteIndex":0},"citationItems":[{"id":313,"uris":["http://zotero.org/users/13839746/items/7HMBT6EX"],"itemData":{"id":313,"type":"article-journal","abstract":"This paper analyses the relationship between a country’s income distribution and its exports’ unit values. Using bilateral export flows, we not only confirm the positive association between a country’s average income and its export unit values, but further identify a heterogeneous relationship with income inequality: we find a greater income spread to be associated with higher export unit values in the case of poor countries only. These results are robust to the inclusion of controls for other determinants of export unit values, as well as to the use of alternative measures of income inequality and of the quality index. We finally discuss various theoretical rationalisations for this heterogeneous relationship between income inequality and the quality content of exports along the average income dimension, and show suggestive evidence that demand-side mechanisms can account for it, at least partly.","container-title":"Journal of Economic Behavior &amp; Organization","DOI":"10.1016/j.jebo.2021.03.002","ISSN":"0167-2681","journalAbbreviation":"Journal of Economic Behavior &amp; Organization","page":"625-646","source":"ScienceDirect","title":"Average income, income inequality and export unit values","volume":"185","author":[{"family":"Latzer","given":"Hélène"},{"family":"Mayneris","given":"Florian"}],"issued":{"date-parts":[["2021",5,1]]}}},{"id":316,"uris":["http://zotero.org/users/13839746/items/6E9XVZI9"],"itemData":{"id":316,"type":"article-journal","abstract":"This article establishes six stylized facts about firms' export prices using detailed customs data on the universe of Chinese trade flows. First, across firms selling a given product, exporters that charge higher prices earn greater revenues in each destination, have bigger worldwide sales, and enter more markets. Second, firms that export more, enter more markets, and charge higher export prices import more expensive inputs. Third, across destinations within a firm-product, firms set higher prices in richer, larger, bilaterally more distant and overall less remote countries. Fourth, across destinations within a firm-product, firms earn bigger revenues in markets where they set higher prices. Fifth, across firms within a product, exporters with more destinations offer a wider range of export prices. Finally, firms that export more, enter more markets, and offer a wider range of export prices pay a wider range of input prices and source inputs from more origin countries. We propose that trade models should incorporate two features to rationalize these patterns in the data: more successful exporters use higher quality inputs to produce higher quality goods (stylized facts 1 and 2), and firms vary the quality of their products across destinations by using inputs of different quality levels (stylized facts 3, 4, 5, and 6).","container-title":"The Quarterly Journal of Economics","ISSN":"0033-5533","issue":"1","note":"publisher: Oxford University Press","page":"379-436","source":"JSTOR","title":"Export Prices Across Firms and Destinations","volume":"127","author":[{"family":"Manova","given":"Kalina"},{"family":"Zhang","given":"Zhiwei"}],"issued":{"date-parts":[["2012"]]}}},{"id":318,"uris":["http://zotero.org/users/13839746/items/ISYQSQXT"],"itemData":{"id":318,"type":"article-journal","abstract":"What drives export quality? Using Portuguese firm-level data on exports by product and destination market, we find that f.o.b. unit values increase systematically with distance, and tend to be higher in shipments to richer nations. These relationships reflect not only the sorting of firms across markets, but also the within-firm variation of unit values across destinations. Within product categories, higher-productivity firms tend to ship greater quantities at higher prices to a given market, consistent with higher quality. In addition, firm productivity tends to magnify the positive effect of distance on within-product unit values, suggesting that high-productivity, high-quality firms are more able to serve difficult markets.","container-title":"Journal of International Economics","DOI":"10.1016/j.jinteco.2010.07.001","ISSN":"0022-1996","issue":"2","journalAbbreviation":"Journal of International Economics","page":"99-111","source":"ScienceDirect","title":"The quality of a firm's exports: Where you export to matters","title-short":"The quality of a firm's exports","volume":"82","author":[{"family":"Bastos","given":"Paulo"},{"family":"Silva","given":"Joana"}],"issued":{"date-parts":[["2010",11,1]]}}}],"schema":"https://github.com/citation-style-language/schema/raw/master/csl-citation.json"} </w:instrText>
      </w:r>
      <w:r w:rsidR="00A8005A">
        <w:fldChar w:fldCharType="separate"/>
      </w:r>
      <w:r w:rsidR="00A8005A">
        <w:rPr>
          <w:noProof/>
        </w:rPr>
        <w:t>(Latzer and Mayneris 2021; Manova and Zhang 2012; Bastos and Silva 2010)</w:t>
      </w:r>
      <w:r w:rsidR="00A8005A">
        <w:fldChar w:fldCharType="end"/>
      </w:r>
      <w:r w:rsidR="00C95CE0">
        <w:t>.</w:t>
      </w:r>
      <w:r w:rsidR="00152A59">
        <w:t xml:space="preserve"> </w:t>
      </w:r>
      <w:r w:rsidR="00C95CE0">
        <w:t xml:space="preserve"> </w:t>
      </w:r>
      <w:r w:rsidR="002B753D">
        <w:t xml:space="preserve">Using the unit value as the dependent variable in our </w:t>
      </w:r>
      <w:r w:rsidR="00D612AF">
        <w:t xml:space="preserve">estimations allow us to analyse </w:t>
      </w:r>
      <w:r w:rsidR="00E45701">
        <w:t xml:space="preserve">if the value per unit exported is affected by PTAs. To be consistent </w:t>
      </w:r>
      <w:r w:rsidR="005F519F">
        <w:t xml:space="preserve">in our effort to understand the potentially heterogenous effects of PTAs according to the different category of the members in </w:t>
      </w:r>
      <w:r w:rsidR="002853EA">
        <w:t>trade volume, but also in</w:t>
      </w:r>
      <w:r w:rsidR="005F519F">
        <w:t xml:space="preserve"> </w:t>
      </w:r>
      <w:r w:rsidR="00965ED5">
        <w:t>quality upgrading and industrialization development of countries</w:t>
      </w:r>
      <w:r w:rsidR="00C32C4C">
        <w:t>, we f</w:t>
      </w:r>
      <w:r w:rsidR="008F0CBA">
        <w:t>ocus on</w:t>
      </w:r>
      <w:r w:rsidR="001F2D4C">
        <w:t xml:space="preserve"> manufacturing products </w:t>
      </w:r>
      <w:r w:rsidR="001F2D4C">
        <w:fldChar w:fldCharType="begin"/>
      </w:r>
      <w:r w:rsidR="001F2D4C">
        <w:instrText xml:space="preserve"> ADDIN ZOTERO_ITEM CSL_CITATION {"citationID":"0eURmATb","properties":{"formattedCitation":"(Chatzilazarou and Dadakas 2023)","plainCitation":"(Chatzilazarou and Dadakas 2023)","noteIndex":0},"citationItems":[{"id":249,"uris":["http://zotero.org/users/13839746/items/CUKBCPKK"],"itemData":{"id":249,"type":"article-journal","abstract":"Purpose This study deals with changes in European Union's (EU's) trade potential in Machinery (HS 84–85) and Transportation (HS86-89) products. Design/methodology/approach The study uses a Structural Gravity model, Poisson Pseudo Maximum Likelihood (PPML) estimation together with panel data for the years 2002–2018 and a two-step procedure that employs predicted values of bilateral trade to compare potential to actual trade. Findings Results for Machinery products suggest a potential to expand trade with existing Regional Trade Agreements (RTAs) in the American continent, and countries of the IGAD region in Africa. In Transportation, a high trade potential with RTAs is found in the Americas, Africa and the Middle East. Policy suggestions concentrate on opportunities for enhancing trade relations through trade liberalization and agreement proliferation. Originality/value There are no studies to date, that examine “collective” measure of EU trade potential, that treats the EU as a single country. Changes in existing opportunities to expand trade, common for EU members, are of special interest for policy formulation, especially after the recent turmoil presented by the Global Financial Crisis (GFC) and the Greek Economic Crisis (GEC). Treating the EU as a single entity, is necessary for the formulation of an effective, common, EU trade policy. This study concentrates on the manufacturing sector to examine existing opportunities for the EU to expand trade, after the GFC and the GEC. This article deals with Machinery (HS 84 and 85) and Transportation (HS 86 through 89) products as they comprise a significant part of total EU exports, reaching 41% of total exports in 2016. Finally, this study offers a unique illustration of results through trade potential heat maps.","container-title":"Journal of Economic Studies","DOI":"10.1108/JES-06-2023-0292","ISSN":"0144-3585","issue":"5","note":"publisher: Emerald Publishing Limited","page":"1144-1163","source":"Emerald Insight","title":"Trade potential in European Union manufacturing","volume":"51","author":[{"family":"Chatzilazarou","given":"Lazaros Antonios"},{"family":"Dadakas","given":"Dimitrios"}],"issued":{"date-parts":[["2023",1,1]]}}}],"schema":"https://github.com/citation-style-language/schema/raw/master/csl-citation.json"} </w:instrText>
      </w:r>
      <w:r w:rsidR="001F2D4C">
        <w:fldChar w:fldCharType="separate"/>
      </w:r>
      <w:r w:rsidR="001F2D4C">
        <w:rPr>
          <w:noProof/>
        </w:rPr>
        <w:t>(Chatzilazarou and Dadakas 2023)</w:t>
      </w:r>
      <w:r w:rsidR="001F2D4C">
        <w:fldChar w:fldCharType="end"/>
      </w:r>
      <w:r w:rsidR="001F2D4C">
        <w:t xml:space="preserve"> with</w:t>
      </w:r>
      <w:r w:rsidR="008F0CBA">
        <w:t xml:space="preserve"> HS 2-digit codes 84 </w:t>
      </w:r>
      <w:r w:rsidR="002853EA">
        <w:t>(</w:t>
      </w:r>
      <w:r w:rsidR="002853EA" w:rsidRPr="002853EA">
        <w:t>Nuclear reactors, boilers, machinery and mechanical appliances; parts thereof</w:t>
      </w:r>
      <w:r w:rsidR="002853EA">
        <w:t xml:space="preserve"> ) </w:t>
      </w:r>
      <w:r w:rsidR="008F0CBA">
        <w:t>and 85</w:t>
      </w:r>
      <w:r w:rsidR="002853EA">
        <w:t xml:space="preserve"> (</w:t>
      </w:r>
      <w:r w:rsidR="002853EA" w:rsidRPr="002853EA">
        <w:t>Electrical machinery and equipment and parts thereof; sound recorders and reproducers, television image and sound recorders and reproducers, and parts and accessories of such articles</w:t>
      </w:r>
      <w:r w:rsidR="002853EA">
        <w:t>) which are part of the “Machinery and mechanical appliances; electrical equipment; parts thereof; sound recorders and reproducers, television image and sour sound recorders and reproducers, and parts and accessories of such articles”</w:t>
      </w:r>
      <w:r w:rsidR="001F2D4C">
        <w:t xml:space="preserve"> category from the World Customs Organization. </w:t>
      </w:r>
      <w:r w:rsidR="00D05049">
        <w:t>Our aim is to compare the effects of PTAs on trade volumes against the effects on the unit value of manufactur</w:t>
      </w:r>
      <w:r w:rsidR="00AA4E29">
        <w:t>ing</w:t>
      </w:r>
      <w:r w:rsidR="00D05049">
        <w:t xml:space="preserve"> products exported.</w:t>
      </w:r>
    </w:p>
    <w:p w14:paraId="6A9F9906" w14:textId="5E26E41F" w:rsidR="00FF108F" w:rsidRPr="008E0E65" w:rsidRDefault="00FF108F">
      <w:pPr>
        <w:rPr>
          <w:lang w:val="en-US"/>
        </w:rPr>
      </w:pPr>
      <w:r w:rsidRPr="008E0E65">
        <w:rPr>
          <w:lang w:val="en-US"/>
        </w:rPr>
        <w:t>References</w:t>
      </w:r>
    </w:p>
    <w:p w14:paraId="4C924B08" w14:textId="77777777" w:rsidR="00FF108F" w:rsidRPr="008E0E65" w:rsidRDefault="00FF108F">
      <w:pPr>
        <w:rPr>
          <w:lang w:val="en-US"/>
        </w:rPr>
      </w:pPr>
    </w:p>
    <w:p w14:paraId="6311FCAE" w14:textId="77777777" w:rsidR="00902289" w:rsidRPr="00902289" w:rsidRDefault="00D56B41" w:rsidP="00902289">
      <w:pPr>
        <w:pStyle w:val="Bibliography"/>
        <w:rPr>
          <w:lang w:val="en-US"/>
        </w:rPr>
      </w:pPr>
      <w:r>
        <w:rPr>
          <w:lang w:val="en-GB"/>
        </w:rPr>
        <w:fldChar w:fldCharType="begin"/>
      </w:r>
      <w:r w:rsidR="00902289" w:rsidRPr="008E0E65">
        <w:rPr>
          <w:lang w:val="en-US"/>
        </w:rPr>
        <w:instrText xml:space="preserve"> ADDIN ZOTERO_BIBL {"uncited":[],"omitted":[],"custom":[]} CSL_BIBLIOGRAPHY </w:instrText>
      </w:r>
      <w:r>
        <w:rPr>
          <w:lang w:val="en-GB"/>
        </w:rPr>
        <w:fldChar w:fldCharType="separate"/>
      </w:r>
      <w:r w:rsidR="00902289" w:rsidRPr="008E0E65">
        <w:rPr>
          <w:lang w:val="en-US"/>
        </w:rPr>
        <w:t xml:space="preserve">Bastos, Paulo, and Joana Silva. </w:t>
      </w:r>
      <w:r w:rsidR="00902289" w:rsidRPr="00902289">
        <w:rPr>
          <w:lang w:val="en-US"/>
        </w:rPr>
        <w:t xml:space="preserve">2010. “The Quality of a Firm’s Exports: Where You Export to Matters.” </w:t>
      </w:r>
      <w:r w:rsidR="00902289" w:rsidRPr="00902289">
        <w:rPr>
          <w:i/>
          <w:iCs/>
          <w:lang w:val="en-US"/>
        </w:rPr>
        <w:t>Journal of International Economics</w:t>
      </w:r>
      <w:r w:rsidR="00902289" w:rsidRPr="00902289">
        <w:rPr>
          <w:lang w:val="en-US"/>
        </w:rPr>
        <w:t xml:space="preserve"> 82 (2): 99–111. https://doi.org/10.1016/j.jinteco.2010.07.001.</w:t>
      </w:r>
    </w:p>
    <w:p w14:paraId="44178CAE" w14:textId="77777777" w:rsidR="00902289" w:rsidRPr="00902289" w:rsidRDefault="00902289" w:rsidP="00902289">
      <w:pPr>
        <w:pStyle w:val="Bibliography"/>
        <w:rPr>
          <w:lang w:val="en-US"/>
        </w:rPr>
      </w:pPr>
      <w:r w:rsidRPr="00902289">
        <w:rPr>
          <w:lang w:val="en-US"/>
        </w:rPr>
        <w:t xml:space="preserve">Chatzilazarou, Lazaros Antonios, and Dimitrios Dadakas. 2023. “Trade Potential in European Union Manufacturing.” </w:t>
      </w:r>
      <w:r w:rsidRPr="00902289">
        <w:rPr>
          <w:i/>
          <w:iCs/>
          <w:lang w:val="en-US"/>
        </w:rPr>
        <w:t>Journal of Economic Studies</w:t>
      </w:r>
      <w:r w:rsidRPr="00902289">
        <w:rPr>
          <w:lang w:val="en-US"/>
        </w:rPr>
        <w:t xml:space="preserve"> 51 (5): 1144–63. https://doi.org/10.1108/JES-06-2023-0292.</w:t>
      </w:r>
    </w:p>
    <w:p w14:paraId="567CD783" w14:textId="77777777" w:rsidR="00902289" w:rsidRPr="00902289" w:rsidRDefault="00902289" w:rsidP="00902289">
      <w:pPr>
        <w:pStyle w:val="Bibliography"/>
        <w:rPr>
          <w:lang w:val="en-US"/>
        </w:rPr>
      </w:pPr>
      <w:r w:rsidRPr="00902289">
        <w:rPr>
          <w:lang w:val="en-US"/>
        </w:rPr>
        <w:t xml:space="preserve">Latzer, Hélène, and Florian Mayneris. 2021. “Average Income, Income Inequality and Export Unit Values.” </w:t>
      </w:r>
      <w:r w:rsidRPr="00902289">
        <w:rPr>
          <w:i/>
          <w:iCs/>
          <w:lang w:val="en-US"/>
        </w:rPr>
        <w:t>Journal of Economic Behavior &amp; Organization</w:t>
      </w:r>
      <w:r w:rsidRPr="00902289">
        <w:rPr>
          <w:lang w:val="en-US"/>
        </w:rPr>
        <w:t xml:space="preserve"> 185 (May):625–46. https://doi.org/10.1016/j.jebo.2021.03.002.</w:t>
      </w:r>
    </w:p>
    <w:p w14:paraId="0E649070" w14:textId="77777777" w:rsidR="00902289" w:rsidRPr="00902289" w:rsidRDefault="00902289" w:rsidP="00902289">
      <w:pPr>
        <w:pStyle w:val="Bibliography"/>
        <w:rPr>
          <w:lang w:val="en-US"/>
        </w:rPr>
      </w:pPr>
      <w:r w:rsidRPr="00902289">
        <w:rPr>
          <w:lang w:val="en-US"/>
        </w:rPr>
        <w:t xml:space="preserve">Manova, Kalina, and Zhiwei Zhang. 2012. “Export Prices Across Firms and Destinations.” </w:t>
      </w:r>
      <w:r w:rsidRPr="00902289">
        <w:rPr>
          <w:i/>
          <w:iCs/>
          <w:lang w:val="en-US"/>
        </w:rPr>
        <w:t>The Quarterly Journal of Economics</w:t>
      </w:r>
      <w:r w:rsidRPr="00902289">
        <w:rPr>
          <w:lang w:val="en-US"/>
        </w:rPr>
        <w:t xml:space="preserve"> 127 (1): 379–436.</w:t>
      </w:r>
    </w:p>
    <w:p w14:paraId="70C63C41" w14:textId="1BC31854" w:rsidR="00640EC1" w:rsidRPr="001F34A5" w:rsidRDefault="00D56B41">
      <w:pPr>
        <w:rPr>
          <w:lang w:val="en-GB"/>
        </w:rPr>
      </w:pPr>
      <w:r>
        <w:rPr>
          <w:lang w:val="en-GB"/>
        </w:rPr>
        <w:fldChar w:fldCharType="end"/>
      </w:r>
    </w:p>
    <w:p w14:paraId="1D7AEB34" w14:textId="77777777" w:rsidR="00FF108F" w:rsidRPr="001F34A5" w:rsidRDefault="00FF108F">
      <w:pPr>
        <w:rPr>
          <w:lang w:val="en-GB"/>
        </w:rPr>
      </w:pPr>
    </w:p>
    <w:sectPr w:rsidR="00FF108F" w:rsidRPr="001F34A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C63E5"/>
    <w:multiLevelType w:val="multilevel"/>
    <w:tmpl w:val="3FE81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D418C"/>
    <w:multiLevelType w:val="hybridMultilevel"/>
    <w:tmpl w:val="10E68D62"/>
    <w:lvl w:ilvl="0" w:tplc="D8D28CC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1E3C1A"/>
    <w:multiLevelType w:val="multilevel"/>
    <w:tmpl w:val="E10AC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928"/>
        </w:tabs>
        <w:ind w:left="928"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902D39"/>
    <w:multiLevelType w:val="multilevel"/>
    <w:tmpl w:val="5A3E7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FA7E18"/>
    <w:multiLevelType w:val="multilevel"/>
    <w:tmpl w:val="58122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8788027">
    <w:abstractNumId w:val="1"/>
  </w:num>
  <w:num w:numId="2" w16cid:durableId="1298100658">
    <w:abstractNumId w:val="4"/>
  </w:num>
  <w:num w:numId="3" w16cid:durableId="796992468">
    <w:abstractNumId w:val="0"/>
  </w:num>
  <w:num w:numId="4" w16cid:durableId="1983998471">
    <w:abstractNumId w:val="3"/>
  </w:num>
  <w:num w:numId="5" w16cid:durableId="5838798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4E4"/>
    <w:rsid w:val="000118FB"/>
    <w:rsid w:val="00011C50"/>
    <w:rsid w:val="00013E88"/>
    <w:rsid w:val="00016401"/>
    <w:rsid w:val="00024B9F"/>
    <w:rsid w:val="00033E50"/>
    <w:rsid w:val="0005626F"/>
    <w:rsid w:val="000634A3"/>
    <w:rsid w:val="000752F9"/>
    <w:rsid w:val="00082865"/>
    <w:rsid w:val="000837E7"/>
    <w:rsid w:val="00083E63"/>
    <w:rsid w:val="00084C74"/>
    <w:rsid w:val="00085492"/>
    <w:rsid w:val="00086EA5"/>
    <w:rsid w:val="00093BB0"/>
    <w:rsid w:val="000971F4"/>
    <w:rsid w:val="000A22CD"/>
    <w:rsid w:val="000A437A"/>
    <w:rsid w:val="000A4BE9"/>
    <w:rsid w:val="000B37DA"/>
    <w:rsid w:val="000B5AB2"/>
    <w:rsid w:val="000C24FA"/>
    <w:rsid w:val="000C50B4"/>
    <w:rsid w:val="000C58D0"/>
    <w:rsid w:val="000D54EF"/>
    <w:rsid w:val="000E4E1A"/>
    <w:rsid w:val="000F5C38"/>
    <w:rsid w:val="000F6E05"/>
    <w:rsid w:val="001006D2"/>
    <w:rsid w:val="00101417"/>
    <w:rsid w:val="00101FD2"/>
    <w:rsid w:val="00102A36"/>
    <w:rsid w:val="001166F0"/>
    <w:rsid w:val="00121DF0"/>
    <w:rsid w:val="00134997"/>
    <w:rsid w:val="001426EA"/>
    <w:rsid w:val="00152A59"/>
    <w:rsid w:val="00157031"/>
    <w:rsid w:val="001578B9"/>
    <w:rsid w:val="00163F8B"/>
    <w:rsid w:val="00165605"/>
    <w:rsid w:val="00180CEA"/>
    <w:rsid w:val="00182E41"/>
    <w:rsid w:val="001836B3"/>
    <w:rsid w:val="00183F9F"/>
    <w:rsid w:val="00186159"/>
    <w:rsid w:val="00186304"/>
    <w:rsid w:val="001A4E37"/>
    <w:rsid w:val="001B22EE"/>
    <w:rsid w:val="001C0691"/>
    <w:rsid w:val="001C4288"/>
    <w:rsid w:val="001C443A"/>
    <w:rsid w:val="001D46E8"/>
    <w:rsid w:val="001E6280"/>
    <w:rsid w:val="001F2D4C"/>
    <w:rsid w:val="001F34A5"/>
    <w:rsid w:val="002005AF"/>
    <w:rsid w:val="0020249A"/>
    <w:rsid w:val="002039D5"/>
    <w:rsid w:val="0020724D"/>
    <w:rsid w:val="002112C8"/>
    <w:rsid w:val="00213A3C"/>
    <w:rsid w:val="002147F3"/>
    <w:rsid w:val="00220B7B"/>
    <w:rsid w:val="00230FA1"/>
    <w:rsid w:val="00233A0B"/>
    <w:rsid w:val="002353E3"/>
    <w:rsid w:val="00237EFD"/>
    <w:rsid w:val="00256746"/>
    <w:rsid w:val="002640E0"/>
    <w:rsid w:val="002663E9"/>
    <w:rsid w:val="002853EA"/>
    <w:rsid w:val="00293A6F"/>
    <w:rsid w:val="002A192D"/>
    <w:rsid w:val="002A56A4"/>
    <w:rsid w:val="002B753D"/>
    <w:rsid w:val="002B77F1"/>
    <w:rsid w:val="002D0697"/>
    <w:rsid w:val="002D36B6"/>
    <w:rsid w:val="002D3E01"/>
    <w:rsid w:val="002E2BBE"/>
    <w:rsid w:val="002E70BD"/>
    <w:rsid w:val="002F1DED"/>
    <w:rsid w:val="002F4301"/>
    <w:rsid w:val="003008B9"/>
    <w:rsid w:val="003041B4"/>
    <w:rsid w:val="003175D4"/>
    <w:rsid w:val="00325959"/>
    <w:rsid w:val="003268E4"/>
    <w:rsid w:val="003321AD"/>
    <w:rsid w:val="0033656E"/>
    <w:rsid w:val="00355B36"/>
    <w:rsid w:val="0035751F"/>
    <w:rsid w:val="003646F7"/>
    <w:rsid w:val="003765FB"/>
    <w:rsid w:val="003815C7"/>
    <w:rsid w:val="003817BB"/>
    <w:rsid w:val="00383750"/>
    <w:rsid w:val="00386A8D"/>
    <w:rsid w:val="00390CDA"/>
    <w:rsid w:val="003A0806"/>
    <w:rsid w:val="003A3CBC"/>
    <w:rsid w:val="003A4FAA"/>
    <w:rsid w:val="003A70EE"/>
    <w:rsid w:val="003B2D50"/>
    <w:rsid w:val="003C2CD6"/>
    <w:rsid w:val="003C7E4C"/>
    <w:rsid w:val="003D0AD0"/>
    <w:rsid w:val="003D712F"/>
    <w:rsid w:val="003E43D3"/>
    <w:rsid w:val="003E5261"/>
    <w:rsid w:val="003E7A5A"/>
    <w:rsid w:val="003F14F5"/>
    <w:rsid w:val="003F1698"/>
    <w:rsid w:val="003F4803"/>
    <w:rsid w:val="00400909"/>
    <w:rsid w:val="00402564"/>
    <w:rsid w:val="004062E4"/>
    <w:rsid w:val="00407D2F"/>
    <w:rsid w:val="0041214D"/>
    <w:rsid w:val="00427906"/>
    <w:rsid w:val="00432E74"/>
    <w:rsid w:val="00437113"/>
    <w:rsid w:val="00445549"/>
    <w:rsid w:val="00451C52"/>
    <w:rsid w:val="004522B1"/>
    <w:rsid w:val="004650A6"/>
    <w:rsid w:val="004728C3"/>
    <w:rsid w:val="004738DD"/>
    <w:rsid w:val="004746D6"/>
    <w:rsid w:val="00477578"/>
    <w:rsid w:val="00484B47"/>
    <w:rsid w:val="00491551"/>
    <w:rsid w:val="004C340C"/>
    <w:rsid w:val="004C461E"/>
    <w:rsid w:val="004D2834"/>
    <w:rsid w:val="004E3142"/>
    <w:rsid w:val="004E3FE9"/>
    <w:rsid w:val="004E728C"/>
    <w:rsid w:val="004F10E0"/>
    <w:rsid w:val="00500EC1"/>
    <w:rsid w:val="00501E29"/>
    <w:rsid w:val="00503287"/>
    <w:rsid w:val="00503AC7"/>
    <w:rsid w:val="00506386"/>
    <w:rsid w:val="00514330"/>
    <w:rsid w:val="0051576E"/>
    <w:rsid w:val="0052774A"/>
    <w:rsid w:val="0053271C"/>
    <w:rsid w:val="00537611"/>
    <w:rsid w:val="00541393"/>
    <w:rsid w:val="005451D1"/>
    <w:rsid w:val="0055147D"/>
    <w:rsid w:val="0055310D"/>
    <w:rsid w:val="00554F99"/>
    <w:rsid w:val="00562963"/>
    <w:rsid w:val="0057200A"/>
    <w:rsid w:val="00573624"/>
    <w:rsid w:val="00580735"/>
    <w:rsid w:val="0059014C"/>
    <w:rsid w:val="00592A5D"/>
    <w:rsid w:val="00595013"/>
    <w:rsid w:val="005A55C7"/>
    <w:rsid w:val="005B2CC7"/>
    <w:rsid w:val="005B5297"/>
    <w:rsid w:val="005C5F3D"/>
    <w:rsid w:val="005D44E3"/>
    <w:rsid w:val="005E0AC7"/>
    <w:rsid w:val="005E17E5"/>
    <w:rsid w:val="005F519F"/>
    <w:rsid w:val="0060459C"/>
    <w:rsid w:val="00604A21"/>
    <w:rsid w:val="006120B3"/>
    <w:rsid w:val="00614849"/>
    <w:rsid w:val="006152CA"/>
    <w:rsid w:val="00622ED8"/>
    <w:rsid w:val="00625AE8"/>
    <w:rsid w:val="00626A05"/>
    <w:rsid w:val="0062725E"/>
    <w:rsid w:val="006311BC"/>
    <w:rsid w:val="00640E04"/>
    <w:rsid w:val="00640EC1"/>
    <w:rsid w:val="006416EF"/>
    <w:rsid w:val="006544E4"/>
    <w:rsid w:val="00656F4C"/>
    <w:rsid w:val="00660712"/>
    <w:rsid w:val="00662CB3"/>
    <w:rsid w:val="00666A14"/>
    <w:rsid w:val="00666CD8"/>
    <w:rsid w:val="006722BD"/>
    <w:rsid w:val="006769FC"/>
    <w:rsid w:val="006831F3"/>
    <w:rsid w:val="0068389C"/>
    <w:rsid w:val="00684BB4"/>
    <w:rsid w:val="00694491"/>
    <w:rsid w:val="00694B36"/>
    <w:rsid w:val="0069526D"/>
    <w:rsid w:val="006958E0"/>
    <w:rsid w:val="006A3929"/>
    <w:rsid w:val="006B5BD6"/>
    <w:rsid w:val="006E4B3D"/>
    <w:rsid w:val="00702515"/>
    <w:rsid w:val="007129AC"/>
    <w:rsid w:val="00722A02"/>
    <w:rsid w:val="0072636F"/>
    <w:rsid w:val="00736123"/>
    <w:rsid w:val="0074445A"/>
    <w:rsid w:val="0074698D"/>
    <w:rsid w:val="0075669E"/>
    <w:rsid w:val="0075745E"/>
    <w:rsid w:val="00760A18"/>
    <w:rsid w:val="007613E4"/>
    <w:rsid w:val="00765F22"/>
    <w:rsid w:val="00773F75"/>
    <w:rsid w:val="00786687"/>
    <w:rsid w:val="007912CD"/>
    <w:rsid w:val="007920E8"/>
    <w:rsid w:val="007952DD"/>
    <w:rsid w:val="007A3426"/>
    <w:rsid w:val="007A3863"/>
    <w:rsid w:val="007C2FA4"/>
    <w:rsid w:val="007C65C1"/>
    <w:rsid w:val="007C76EA"/>
    <w:rsid w:val="007D7B2B"/>
    <w:rsid w:val="008054D1"/>
    <w:rsid w:val="00805835"/>
    <w:rsid w:val="00806204"/>
    <w:rsid w:val="00810C3C"/>
    <w:rsid w:val="00811324"/>
    <w:rsid w:val="00811B21"/>
    <w:rsid w:val="00822437"/>
    <w:rsid w:val="0082553E"/>
    <w:rsid w:val="00827432"/>
    <w:rsid w:val="00843359"/>
    <w:rsid w:val="008466E4"/>
    <w:rsid w:val="00853B30"/>
    <w:rsid w:val="00860CCE"/>
    <w:rsid w:val="00866989"/>
    <w:rsid w:val="008714EC"/>
    <w:rsid w:val="00871905"/>
    <w:rsid w:val="00873F4B"/>
    <w:rsid w:val="00875D87"/>
    <w:rsid w:val="0088160C"/>
    <w:rsid w:val="00882031"/>
    <w:rsid w:val="00885178"/>
    <w:rsid w:val="0088583A"/>
    <w:rsid w:val="00886B01"/>
    <w:rsid w:val="00891DED"/>
    <w:rsid w:val="00895E61"/>
    <w:rsid w:val="008A3536"/>
    <w:rsid w:val="008A77C8"/>
    <w:rsid w:val="008B0C99"/>
    <w:rsid w:val="008B256E"/>
    <w:rsid w:val="008B35B9"/>
    <w:rsid w:val="008B77D0"/>
    <w:rsid w:val="008C2AC1"/>
    <w:rsid w:val="008C3834"/>
    <w:rsid w:val="008D4DBA"/>
    <w:rsid w:val="008E0DB6"/>
    <w:rsid w:val="008E0E65"/>
    <w:rsid w:val="008F0CBA"/>
    <w:rsid w:val="00902289"/>
    <w:rsid w:val="009209B3"/>
    <w:rsid w:val="00923529"/>
    <w:rsid w:val="009272E6"/>
    <w:rsid w:val="00932CC3"/>
    <w:rsid w:val="0093480F"/>
    <w:rsid w:val="0094481A"/>
    <w:rsid w:val="00945DA6"/>
    <w:rsid w:val="00953D4B"/>
    <w:rsid w:val="009560BE"/>
    <w:rsid w:val="0095715A"/>
    <w:rsid w:val="00963DC3"/>
    <w:rsid w:val="00965ED5"/>
    <w:rsid w:val="00966F54"/>
    <w:rsid w:val="00981D4A"/>
    <w:rsid w:val="00983318"/>
    <w:rsid w:val="0099667A"/>
    <w:rsid w:val="009A2535"/>
    <w:rsid w:val="009A2BF6"/>
    <w:rsid w:val="009C16CE"/>
    <w:rsid w:val="009C51CD"/>
    <w:rsid w:val="009E1268"/>
    <w:rsid w:val="00A00694"/>
    <w:rsid w:val="00A10D76"/>
    <w:rsid w:val="00A1741F"/>
    <w:rsid w:val="00A20878"/>
    <w:rsid w:val="00A33446"/>
    <w:rsid w:val="00A357D4"/>
    <w:rsid w:val="00A35BD5"/>
    <w:rsid w:val="00A37DDA"/>
    <w:rsid w:val="00A42C99"/>
    <w:rsid w:val="00A5053B"/>
    <w:rsid w:val="00A505EC"/>
    <w:rsid w:val="00A50D8D"/>
    <w:rsid w:val="00A54672"/>
    <w:rsid w:val="00A62DAE"/>
    <w:rsid w:val="00A6743F"/>
    <w:rsid w:val="00A7428A"/>
    <w:rsid w:val="00A8005A"/>
    <w:rsid w:val="00A81289"/>
    <w:rsid w:val="00A83628"/>
    <w:rsid w:val="00A842A9"/>
    <w:rsid w:val="00A93377"/>
    <w:rsid w:val="00A947D3"/>
    <w:rsid w:val="00A95D45"/>
    <w:rsid w:val="00AA4E29"/>
    <w:rsid w:val="00AB0C90"/>
    <w:rsid w:val="00AC40FF"/>
    <w:rsid w:val="00AC7D93"/>
    <w:rsid w:val="00AD2A82"/>
    <w:rsid w:val="00AD79AB"/>
    <w:rsid w:val="00AE0BAF"/>
    <w:rsid w:val="00AE23B2"/>
    <w:rsid w:val="00AE4C3B"/>
    <w:rsid w:val="00AE5DE2"/>
    <w:rsid w:val="00B00AAD"/>
    <w:rsid w:val="00B027A8"/>
    <w:rsid w:val="00B0714A"/>
    <w:rsid w:val="00B07293"/>
    <w:rsid w:val="00B1431E"/>
    <w:rsid w:val="00B2374D"/>
    <w:rsid w:val="00B2792C"/>
    <w:rsid w:val="00B3601A"/>
    <w:rsid w:val="00B37490"/>
    <w:rsid w:val="00B4097C"/>
    <w:rsid w:val="00B45C2C"/>
    <w:rsid w:val="00B55DB8"/>
    <w:rsid w:val="00B57FBE"/>
    <w:rsid w:val="00B60210"/>
    <w:rsid w:val="00B63EDF"/>
    <w:rsid w:val="00B64566"/>
    <w:rsid w:val="00B718FF"/>
    <w:rsid w:val="00BA7398"/>
    <w:rsid w:val="00BC3389"/>
    <w:rsid w:val="00BD2B7C"/>
    <w:rsid w:val="00BE2205"/>
    <w:rsid w:val="00BE297A"/>
    <w:rsid w:val="00C01CB4"/>
    <w:rsid w:val="00C020C7"/>
    <w:rsid w:val="00C04742"/>
    <w:rsid w:val="00C06C04"/>
    <w:rsid w:val="00C11BAE"/>
    <w:rsid w:val="00C14216"/>
    <w:rsid w:val="00C22018"/>
    <w:rsid w:val="00C32C4C"/>
    <w:rsid w:val="00C37667"/>
    <w:rsid w:val="00C539D6"/>
    <w:rsid w:val="00C62DBD"/>
    <w:rsid w:val="00C74655"/>
    <w:rsid w:val="00C751E5"/>
    <w:rsid w:val="00C76F58"/>
    <w:rsid w:val="00C8225A"/>
    <w:rsid w:val="00C9005A"/>
    <w:rsid w:val="00C95CE0"/>
    <w:rsid w:val="00C97E5F"/>
    <w:rsid w:val="00CA0994"/>
    <w:rsid w:val="00CB0677"/>
    <w:rsid w:val="00CD1A2B"/>
    <w:rsid w:val="00CD5ACF"/>
    <w:rsid w:val="00CE3D5A"/>
    <w:rsid w:val="00CF15A8"/>
    <w:rsid w:val="00CF2E4A"/>
    <w:rsid w:val="00CF33D8"/>
    <w:rsid w:val="00D0052C"/>
    <w:rsid w:val="00D01714"/>
    <w:rsid w:val="00D03ED3"/>
    <w:rsid w:val="00D05049"/>
    <w:rsid w:val="00D12F79"/>
    <w:rsid w:val="00D24A03"/>
    <w:rsid w:val="00D35101"/>
    <w:rsid w:val="00D4015C"/>
    <w:rsid w:val="00D4117E"/>
    <w:rsid w:val="00D47AEA"/>
    <w:rsid w:val="00D55F8D"/>
    <w:rsid w:val="00D56436"/>
    <w:rsid w:val="00D56B41"/>
    <w:rsid w:val="00D57421"/>
    <w:rsid w:val="00D612AF"/>
    <w:rsid w:val="00D72F22"/>
    <w:rsid w:val="00D86F77"/>
    <w:rsid w:val="00DA406D"/>
    <w:rsid w:val="00DB1070"/>
    <w:rsid w:val="00DC6368"/>
    <w:rsid w:val="00DD67CD"/>
    <w:rsid w:val="00DF3FEB"/>
    <w:rsid w:val="00DF455C"/>
    <w:rsid w:val="00DF568D"/>
    <w:rsid w:val="00E00686"/>
    <w:rsid w:val="00E02217"/>
    <w:rsid w:val="00E02B18"/>
    <w:rsid w:val="00E050F3"/>
    <w:rsid w:val="00E128B6"/>
    <w:rsid w:val="00E15926"/>
    <w:rsid w:val="00E20014"/>
    <w:rsid w:val="00E20675"/>
    <w:rsid w:val="00E25819"/>
    <w:rsid w:val="00E371D6"/>
    <w:rsid w:val="00E40845"/>
    <w:rsid w:val="00E45701"/>
    <w:rsid w:val="00E5671D"/>
    <w:rsid w:val="00E57218"/>
    <w:rsid w:val="00E6088F"/>
    <w:rsid w:val="00E6405E"/>
    <w:rsid w:val="00E64500"/>
    <w:rsid w:val="00E86B22"/>
    <w:rsid w:val="00E86DE8"/>
    <w:rsid w:val="00E87279"/>
    <w:rsid w:val="00E92DB0"/>
    <w:rsid w:val="00E93729"/>
    <w:rsid w:val="00E938B6"/>
    <w:rsid w:val="00E96453"/>
    <w:rsid w:val="00EA0936"/>
    <w:rsid w:val="00EB39A1"/>
    <w:rsid w:val="00EB53D5"/>
    <w:rsid w:val="00EC0053"/>
    <w:rsid w:val="00EC24B6"/>
    <w:rsid w:val="00EC5DBA"/>
    <w:rsid w:val="00EC6D1A"/>
    <w:rsid w:val="00ED2A7A"/>
    <w:rsid w:val="00ED6FC5"/>
    <w:rsid w:val="00EF58DA"/>
    <w:rsid w:val="00F02390"/>
    <w:rsid w:val="00F05461"/>
    <w:rsid w:val="00F066AC"/>
    <w:rsid w:val="00F076D0"/>
    <w:rsid w:val="00F1241C"/>
    <w:rsid w:val="00F16B8B"/>
    <w:rsid w:val="00F16D1E"/>
    <w:rsid w:val="00F257B2"/>
    <w:rsid w:val="00F362E8"/>
    <w:rsid w:val="00F409BE"/>
    <w:rsid w:val="00F4274E"/>
    <w:rsid w:val="00F55050"/>
    <w:rsid w:val="00F55329"/>
    <w:rsid w:val="00F557F3"/>
    <w:rsid w:val="00F61EF8"/>
    <w:rsid w:val="00F65E10"/>
    <w:rsid w:val="00F73E52"/>
    <w:rsid w:val="00F90AA4"/>
    <w:rsid w:val="00F91894"/>
    <w:rsid w:val="00FA4287"/>
    <w:rsid w:val="00FB1FA8"/>
    <w:rsid w:val="00FB2673"/>
    <w:rsid w:val="00FD47DA"/>
    <w:rsid w:val="00FF108F"/>
  </w:rsids>
  <m:mathPr>
    <m:mathFont m:val="Cambria Math"/>
    <m:brkBin m:val="before"/>
    <m:brkBinSub m:val="--"/>
    <m:smallFrac m:val="0"/>
    <m:dispDef/>
    <m:lMargin m:val="0"/>
    <m:rMargin m:val="0"/>
    <m:defJc m:val="centerGroup"/>
    <m:wrapIndent m:val="1440"/>
    <m:intLim m:val="subSup"/>
    <m:naryLim m:val="undOvr"/>
  </m:mathPr>
  <w:themeFontLang w:val="en-PA"/>
  <w:clrSchemeMapping w:bg1="light1" w:t1="dark1" w:bg2="light2" w:t2="dark2" w:accent1="accent1" w:accent2="accent2" w:accent3="accent3" w:accent4="accent4" w:accent5="accent5" w:accent6="accent6" w:hyperlink="hyperlink" w:followedHyperlink="followedHyperlink"/>
  <w:decimalSymbol w:val="."/>
  <w:listSeparator w:val=","/>
  <w14:docId w14:val="313F5192"/>
  <w15:chartTrackingRefBased/>
  <w15:docId w15:val="{6D25FDC6-C2EC-4C49-BEF4-82D84247F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3DC3"/>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6544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544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544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544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44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44E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44E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44E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44E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4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544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544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544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44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44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44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44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44E4"/>
    <w:rPr>
      <w:rFonts w:eastAsiaTheme="majorEastAsia" w:cstheme="majorBidi"/>
      <w:color w:val="272727" w:themeColor="text1" w:themeTint="D8"/>
    </w:rPr>
  </w:style>
  <w:style w:type="paragraph" w:styleId="Title">
    <w:name w:val="Title"/>
    <w:basedOn w:val="Normal"/>
    <w:next w:val="Normal"/>
    <w:link w:val="TitleChar"/>
    <w:uiPriority w:val="10"/>
    <w:qFormat/>
    <w:rsid w:val="006544E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44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44E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44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44E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544E4"/>
    <w:rPr>
      <w:i/>
      <w:iCs/>
      <w:color w:val="404040" w:themeColor="text1" w:themeTint="BF"/>
    </w:rPr>
  </w:style>
  <w:style w:type="paragraph" w:styleId="ListParagraph">
    <w:name w:val="List Paragraph"/>
    <w:basedOn w:val="Normal"/>
    <w:uiPriority w:val="34"/>
    <w:qFormat/>
    <w:rsid w:val="006544E4"/>
    <w:pPr>
      <w:ind w:left="720"/>
      <w:contextualSpacing/>
    </w:pPr>
  </w:style>
  <w:style w:type="character" w:styleId="IntenseEmphasis">
    <w:name w:val="Intense Emphasis"/>
    <w:basedOn w:val="DefaultParagraphFont"/>
    <w:uiPriority w:val="21"/>
    <w:qFormat/>
    <w:rsid w:val="006544E4"/>
    <w:rPr>
      <w:i/>
      <w:iCs/>
      <w:color w:val="0F4761" w:themeColor="accent1" w:themeShade="BF"/>
    </w:rPr>
  </w:style>
  <w:style w:type="paragraph" w:styleId="IntenseQuote">
    <w:name w:val="Intense Quote"/>
    <w:basedOn w:val="Normal"/>
    <w:next w:val="Normal"/>
    <w:link w:val="IntenseQuoteChar"/>
    <w:uiPriority w:val="30"/>
    <w:qFormat/>
    <w:rsid w:val="006544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44E4"/>
    <w:rPr>
      <w:i/>
      <w:iCs/>
      <w:color w:val="0F4761" w:themeColor="accent1" w:themeShade="BF"/>
    </w:rPr>
  </w:style>
  <w:style w:type="character" w:styleId="IntenseReference">
    <w:name w:val="Intense Reference"/>
    <w:basedOn w:val="DefaultParagraphFont"/>
    <w:uiPriority w:val="32"/>
    <w:qFormat/>
    <w:rsid w:val="006544E4"/>
    <w:rPr>
      <w:b/>
      <w:bCs/>
      <w:smallCaps/>
      <w:color w:val="0F4761" w:themeColor="accent1" w:themeShade="BF"/>
      <w:spacing w:val="5"/>
    </w:rPr>
  </w:style>
  <w:style w:type="paragraph" w:styleId="Bibliography">
    <w:name w:val="Bibliography"/>
    <w:basedOn w:val="Normal"/>
    <w:next w:val="Normal"/>
    <w:uiPriority w:val="37"/>
    <w:unhideWhenUsed/>
    <w:rsid w:val="00640EC1"/>
    <w:pPr>
      <w:ind w:left="720" w:hanging="720"/>
    </w:pPr>
  </w:style>
  <w:style w:type="character" w:styleId="CommentReference">
    <w:name w:val="annotation reference"/>
    <w:basedOn w:val="DefaultParagraphFont"/>
    <w:uiPriority w:val="99"/>
    <w:semiHidden/>
    <w:unhideWhenUsed/>
    <w:rsid w:val="00AE23B2"/>
    <w:rPr>
      <w:sz w:val="16"/>
      <w:szCs w:val="16"/>
    </w:rPr>
  </w:style>
  <w:style w:type="paragraph" w:styleId="CommentText">
    <w:name w:val="annotation text"/>
    <w:basedOn w:val="Normal"/>
    <w:link w:val="CommentTextChar"/>
    <w:uiPriority w:val="99"/>
    <w:semiHidden/>
    <w:unhideWhenUsed/>
    <w:rsid w:val="00AE23B2"/>
    <w:rPr>
      <w:sz w:val="20"/>
      <w:szCs w:val="20"/>
    </w:rPr>
  </w:style>
  <w:style w:type="character" w:customStyle="1" w:styleId="CommentTextChar">
    <w:name w:val="Comment Text Char"/>
    <w:basedOn w:val="DefaultParagraphFont"/>
    <w:link w:val="CommentText"/>
    <w:uiPriority w:val="99"/>
    <w:semiHidden/>
    <w:rsid w:val="00AE23B2"/>
    <w:rPr>
      <w:sz w:val="20"/>
      <w:szCs w:val="20"/>
    </w:rPr>
  </w:style>
  <w:style w:type="paragraph" w:styleId="CommentSubject">
    <w:name w:val="annotation subject"/>
    <w:basedOn w:val="CommentText"/>
    <w:next w:val="CommentText"/>
    <w:link w:val="CommentSubjectChar"/>
    <w:uiPriority w:val="99"/>
    <w:semiHidden/>
    <w:unhideWhenUsed/>
    <w:rsid w:val="00AE23B2"/>
    <w:rPr>
      <w:b/>
      <w:bCs/>
    </w:rPr>
  </w:style>
  <w:style w:type="character" w:customStyle="1" w:styleId="CommentSubjectChar">
    <w:name w:val="Comment Subject Char"/>
    <w:basedOn w:val="CommentTextChar"/>
    <w:link w:val="CommentSubject"/>
    <w:uiPriority w:val="99"/>
    <w:semiHidden/>
    <w:rsid w:val="00AE23B2"/>
    <w:rPr>
      <w:b/>
      <w:bCs/>
      <w:sz w:val="20"/>
      <w:szCs w:val="20"/>
    </w:rPr>
  </w:style>
  <w:style w:type="character" w:styleId="PlaceholderText">
    <w:name w:val="Placeholder Text"/>
    <w:basedOn w:val="DefaultParagraphFont"/>
    <w:uiPriority w:val="99"/>
    <w:semiHidden/>
    <w:rsid w:val="003D0AD0"/>
    <w:rPr>
      <w:color w:val="666666"/>
    </w:rPr>
  </w:style>
  <w:style w:type="paragraph" w:styleId="NormalWeb">
    <w:name w:val="Normal (Web)"/>
    <w:basedOn w:val="Normal"/>
    <w:uiPriority w:val="99"/>
    <w:unhideWhenUsed/>
    <w:rsid w:val="000837E7"/>
    <w:pPr>
      <w:spacing w:before="100" w:beforeAutospacing="1" w:after="100" w:afterAutospacing="1"/>
    </w:pPr>
  </w:style>
  <w:style w:type="character" w:customStyle="1" w:styleId="mord">
    <w:name w:val="mord"/>
    <w:basedOn w:val="DefaultParagraphFont"/>
    <w:rsid w:val="008C3834"/>
  </w:style>
  <w:style w:type="character" w:customStyle="1" w:styleId="mpunct">
    <w:name w:val="mpunct"/>
    <w:basedOn w:val="DefaultParagraphFont"/>
    <w:rsid w:val="008C3834"/>
  </w:style>
  <w:style w:type="character" w:customStyle="1" w:styleId="vlist-s">
    <w:name w:val="vlist-s"/>
    <w:basedOn w:val="DefaultParagraphFont"/>
    <w:rsid w:val="008C3834"/>
  </w:style>
  <w:style w:type="character" w:customStyle="1" w:styleId="mrel">
    <w:name w:val="mrel"/>
    <w:basedOn w:val="DefaultParagraphFont"/>
    <w:rsid w:val="008C3834"/>
  </w:style>
  <w:style w:type="character" w:customStyle="1" w:styleId="mop">
    <w:name w:val="mop"/>
    <w:basedOn w:val="DefaultParagraphFont"/>
    <w:rsid w:val="008C3834"/>
  </w:style>
  <w:style w:type="character" w:customStyle="1" w:styleId="delimsizing">
    <w:name w:val="delimsizing"/>
    <w:basedOn w:val="DefaultParagraphFont"/>
    <w:rsid w:val="008C3834"/>
  </w:style>
  <w:style w:type="character" w:customStyle="1" w:styleId="mbin">
    <w:name w:val="mbin"/>
    <w:basedOn w:val="DefaultParagraphFont"/>
    <w:rsid w:val="008C3834"/>
  </w:style>
  <w:style w:type="character" w:customStyle="1" w:styleId="katex-mathml">
    <w:name w:val="katex-mathml"/>
    <w:basedOn w:val="DefaultParagraphFont"/>
    <w:rsid w:val="00626A05"/>
  </w:style>
  <w:style w:type="character" w:customStyle="1" w:styleId="mopen">
    <w:name w:val="mopen"/>
    <w:basedOn w:val="DefaultParagraphFont"/>
    <w:rsid w:val="00626A05"/>
  </w:style>
  <w:style w:type="character" w:customStyle="1" w:styleId="mclose">
    <w:name w:val="mclose"/>
    <w:basedOn w:val="DefaultParagraphFont"/>
    <w:rsid w:val="00626A05"/>
  </w:style>
  <w:style w:type="character" w:customStyle="1" w:styleId="mspace">
    <w:name w:val="mspace"/>
    <w:basedOn w:val="DefaultParagraphFont"/>
    <w:rsid w:val="00626A05"/>
  </w:style>
  <w:style w:type="character" w:styleId="Strong">
    <w:name w:val="Strong"/>
    <w:basedOn w:val="DefaultParagraphFont"/>
    <w:uiPriority w:val="22"/>
    <w:qFormat/>
    <w:rsid w:val="00626A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900842">
      <w:bodyDiv w:val="1"/>
      <w:marLeft w:val="0"/>
      <w:marRight w:val="0"/>
      <w:marTop w:val="0"/>
      <w:marBottom w:val="0"/>
      <w:divBdr>
        <w:top w:val="none" w:sz="0" w:space="0" w:color="auto"/>
        <w:left w:val="none" w:sz="0" w:space="0" w:color="auto"/>
        <w:bottom w:val="none" w:sz="0" w:space="0" w:color="auto"/>
        <w:right w:val="none" w:sz="0" w:space="0" w:color="auto"/>
      </w:divBdr>
      <w:divsChild>
        <w:div w:id="1633100722">
          <w:marLeft w:val="0"/>
          <w:marRight w:val="0"/>
          <w:marTop w:val="0"/>
          <w:marBottom w:val="0"/>
          <w:divBdr>
            <w:top w:val="none" w:sz="0" w:space="0" w:color="auto"/>
            <w:left w:val="none" w:sz="0" w:space="0" w:color="auto"/>
            <w:bottom w:val="none" w:sz="0" w:space="0" w:color="auto"/>
            <w:right w:val="none" w:sz="0" w:space="0" w:color="auto"/>
          </w:divBdr>
          <w:divsChild>
            <w:div w:id="377125098">
              <w:marLeft w:val="0"/>
              <w:marRight w:val="0"/>
              <w:marTop w:val="0"/>
              <w:marBottom w:val="0"/>
              <w:divBdr>
                <w:top w:val="none" w:sz="0" w:space="0" w:color="auto"/>
                <w:left w:val="none" w:sz="0" w:space="0" w:color="auto"/>
                <w:bottom w:val="none" w:sz="0" w:space="0" w:color="auto"/>
                <w:right w:val="none" w:sz="0" w:space="0" w:color="auto"/>
              </w:divBdr>
              <w:divsChild>
                <w:div w:id="169013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901719">
      <w:bodyDiv w:val="1"/>
      <w:marLeft w:val="0"/>
      <w:marRight w:val="0"/>
      <w:marTop w:val="0"/>
      <w:marBottom w:val="0"/>
      <w:divBdr>
        <w:top w:val="none" w:sz="0" w:space="0" w:color="auto"/>
        <w:left w:val="none" w:sz="0" w:space="0" w:color="auto"/>
        <w:bottom w:val="none" w:sz="0" w:space="0" w:color="auto"/>
        <w:right w:val="none" w:sz="0" w:space="0" w:color="auto"/>
      </w:divBdr>
    </w:div>
    <w:div w:id="485434039">
      <w:bodyDiv w:val="1"/>
      <w:marLeft w:val="0"/>
      <w:marRight w:val="0"/>
      <w:marTop w:val="0"/>
      <w:marBottom w:val="0"/>
      <w:divBdr>
        <w:top w:val="none" w:sz="0" w:space="0" w:color="auto"/>
        <w:left w:val="none" w:sz="0" w:space="0" w:color="auto"/>
        <w:bottom w:val="none" w:sz="0" w:space="0" w:color="auto"/>
        <w:right w:val="none" w:sz="0" w:space="0" w:color="auto"/>
      </w:divBdr>
      <w:divsChild>
        <w:div w:id="1275673441">
          <w:marLeft w:val="0"/>
          <w:marRight w:val="0"/>
          <w:marTop w:val="0"/>
          <w:marBottom w:val="0"/>
          <w:divBdr>
            <w:top w:val="none" w:sz="0" w:space="0" w:color="auto"/>
            <w:left w:val="none" w:sz="0" w:space="0" w:color="auto"/>
            <w:bottom w:val="none" w:sz="0" w:space="0" w:color="auto"/>
            <w:right w:val="none" w:sz="0" w:space="0" w:color="auto"/>
          </w:divBdr>
          <w:divsChild>
            <w:div w:id="1581325423">
              <w:marLeft w:val="0"/>
              <w:marRight w:val="0"/>
              <w:marTop w:val="0"/>
              <w:marBottom w:val="0"/>
              <w:divBdr>
                <w:top w:val="none" w:sz="0" w:space="0" w:color="auto"/>
                <w:left w:val="none" w:sz="0" w:space="0" w:color="auto"/>
                <w:bottom w:val="none" w:sz="0" w:space="0" w:color="auto"/>
                <w:right w:val="none" w:sz="0" w:space="0" w:color="auto"/>
              </w:divBdr>
              <w:divsChild>
                <w:div w:id="15580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427249">
      <w:bodyDiv w:val="1"/>
      <w:marLeft w:val="0"/>
      <w:marRight w:val="0"/>
      <w:marTop w:val="0"/>
      <w:marBottom w:val="0"/>
      <w:divBdr>
        <w:top w:val="none" w:sz="0" w:space="0" w:color="auto"/>
        <w:left w:val="none" w:sz="0" w:space="0" w:color="auto"/>
        <w:bottom w:val="none" w:sz="0" w:space="0" w:color="auto"/>
        <w:right w:val="none" w:sz="0" w:space="0" w:color="auto"/>
      </w:divBdr>
      <w:divsChild>
        <w:div w:id="465123700">
          <w:marLeft w:val="0"/>
          <w:marRight w:val="0"/>
          <w:marTop w:val="0"/>
          <w:marBottom w:val="0"/>
          <w:divBdr>
            <w:top w:val="none" w:sz="0" w:space="0" w:color="auto"/>
            <w:left w:val="none" w:sz="0" w:space="0" w:color="auto"/>
            <w:bottom w:val="none" w:sz="0" w:space="0" w:color="auto"/>
            <w:right w:val="none" w:sz="0" w:space="0" w:color="auto"/>
          </w:divBdr>
          <w:divsChild>
            <w:div w:id="945118322">
              <w:marLeft w:val="0"/>
              <w:marRight w:val="0"/>
              <w:marTop w:val="0"/>
              <w:marBottom w:val="0"/>
              <w:divBdr>
                <w:top w:val="none" w:sz="0" w:space="0" w:color="auto"/>
                <w:left w:val="none" w:sz="0" w:space="0" w:color="auto"/>
                <w:bottom w:val="none" w:sz="0" w:space="0" w:color="auto"/>
                <w:right w:val="none" w:sz="0" w:space="0" w:color="auto"/>
              </w:divBdr>
              <w:divsChild>
                <w:div w:id="47927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546297">
      <w:bodyDiv w:val="1"/>
      <w:marLeft w:val="0"/>
      <w:marRight w:val="0"/>
      <w:marTop w:val="0"/>
      <w:marBottom w:val="0"/>
      <w:divBdr>
        <w:top w:val="none" w:sz="0" w:space="0" w:color="auto"/>
        <w:left w:val="none" w:sz="0" w:space="0" w:color="auto"/>
        <w:bottom w:val="none" w:sz="0" w:space="0" w:color="auto"/>
        <w:right w:val="none" w:sz="0" w:space="0" w:color="auto"/>
      </w:divBdr>
    </w:div>
    <w:div w:id="897546314">
      <w:bodyDiv w:val="1"/>
      <w:marLeft w:val="0"/>
      <w:marRight w:val="0"/>
      <w:marTop w:val="0"/>
      <w:marBottom w:val="0"/>
      <w:divBdr>
        <w:top w:val="none" w:sz="0" w:space="0" w:color="auto"/>
        <w:left w:val="none" w:sz="0" w:space="0" w:color="auto"/>
        <w:bottom w:val="none" w:sz="0" w:space="0" w:color="auto"/>
        <w:right w:val="none" w:sz="0" w:space="0" w:color="auto"/>
      </w:divBdr>
      <w:divsChild>
        <w:div w:id="609319315">
          <w:marLeft w:val="0"/>
          <w:marRight w:val="0"/>
          <w:marTop w:val="0"/>
          <w:marBottom w:val="0"/>
          <w:divBdr>
            <w:top w:val="none" w:sz="0" w:space="0" w:color="auto"/>
            <w:left w:val="none" w:sz="0" w:space="0" w:color="auto"/>
            <w:bottom w:val="none" w:sz="0" w:space="0" w:color="auto"/>
            <w:right w:val="none" w:sz="0" w:space="0" w:color="auto"/>
          </w:divBdr>
          <w:divsChild>
            <w:div w:id="1402093553">
              <w:marLeft w:val="0"/>
              <w:marRight w:val="0"/>
              <w:marTop w:val="0"/>
              <w:marBottom w:val="0"/>
              <w:divBdr>
                <w:top w:val="none" w:sz="0" w:space="0" w:color="auto"/>
                <w:left w:val="none" w:sz="0" w:space="0" w:color="auto"/>
                <w:bottom w:val="none" w:sz="0" w:space="0" w:color="auto"/>
                <w:right w:val="none" w:sz="0" w:space="0" w:color="auto"/>
              </w:divBdr>
              <w:divsChild>
                <w:div w:id="175342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732316">
      <w:bodyDiv w:val="1"/>
      <w:marLeft w:val="0"/>
      <w:marRight w:val="0"/>
      <w:marTop w:val="0"/>
      <w:marBottom w:val="0"/>
      <w:divBdr>
        <w:top w:val="none" w:sz="0" w:space="0" w:color="auto"/>
        <w:left w:val="none" w:sz="0" w:space="0" w:color="auto"/>
        <w:bottom w:val="none" w:sz="0" w:space="0" w:color="auto"/>
        <w:right w:val="none" w:sz="0" w:space="0" w:color="auto"/>
      </w:divBdr>
      <w:divsChild>
        <w:div w:id="633602093">
          <w:marLeft w:val="0"/>
          <w:marRight w:val="0"/>
          <w:marTop w:val="0"/>
          <w:marBottom w:val="0"/>
          <w:divBdr>
            <w:top w:val="none" w:sz="0" w:space="0" w:color="auto"/>
            <w:left w:val="none" w:sz="0" w:space="0" w:color="auto"/>
            <w:bottom w:val="none" w:sz="0" w:space="0" w:color="auto"/>
            <w:right w:val="none" w:sz="0" w:space="0" w:color="auto"/>
          </w:divBdr>
          <w:divsChild>
            <w:div w:id="2083988080">
              <w:marLeft w:val="0"/>
              <w:marRight w:val="0"/>
              <w:marTop w:val="0"/>
              <w:marBottom w:val="0"/>
              <w:divBdr>
                <w:top w:val="none" w:sz="0" w:space="0" w:color="auto"/>
                <w:left w:val="none" w:sz="0" w:space="0" w:color="auto"/>
                <w:bottom w:val="none" w:sz="0" w:space="0" w:color="auto"/>
                <w:right w:val="none" w:sz="0" w:space="0" w:color="auto"/>
              </w:divBdr>
              <w:divsChild>
                <w:div w:id="1029143307">
                  <w:marLeft w:val="0"/>
                  <w:marRight w:val="0"/>
                  <w:marTop w:val="0"/>
                  <w:marBottom w:val="0"/>
                  <w:divBdr>
                    <w:top w:val="none" w:sz="0" w:space="0" w:color="auto"/>
                    <w:left w:val="none" w:sz="0" w:space="0" w:color="auto"/>
                    <w:bottom w:val="none" w:sz="0" w:space="0" w:color="auto"/>
                    <w:right w:val="none" w:sz="0" w:space="0" w:color="auto"/>
                  </w:divBdr>
                  <w:divsChild>
                    <w:div w:id="182766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982981">
      <w:bodyDiv w:val="1"/>
      <w:marLeft w:val="0"/>
      <w:marRight w:val="0"/>
      <w:marTop w:val="0"/>
      <w:marBottom w:val="0"/>
      <w:divBdr>
        <w:top w:val="none" w:sz="0" w:space="0" w:color="auto"/>
        <w:left w:val="none" w:sz="0" w:space="0" w:color="auto"/>
        <w:bottom w:val="none" w:sz="0" w:space="0" w:color="auto"/>
        <w:right w:val="none" w:sz="0" w:space="0" w:color="auto"/>
      </w:divBdr>
      <w:divsChild>
        <w:div w:id="574821402">
          <w:marLeft w:val="0"/>
          <w:marRight w:val="0"/>
          <w:marTop w:val="0"/>
          <w:marBottom w:val="0"/>
          <w:divBdr>
            <w:top w:val="none" w:sz="0" w:space="0" w:color="auto"/>
            <w:left w:val="none" w:sz="0" w:space="0" w:color="auto"/>
            <w:bottom w:val="none" w:sz="0" w:space="0" w:color="auto"/>
            <w:right w:val="none" w:sz="0" w:space="0" w:color="auto"/>
          </w:divBdr>
          <w:divsChild>
            <w:div w:id="1598907757">
              <w:marLeft w:val="0"/>
              <w:marRight w:val="0"/>
              <w:marTop w:val="0"/>
              <w:marBottom w:val="0"/>
              <w:divBdr>
                <w:top w:val="none" w:sz="0" w:space="0" w:color="auto"/>
                <w:left w:val="none" w:sz="0" w:space="0" w:color="auto"/>
                <w:bottom w:val="none" w:sz="0" w:space="0" w:color="auto"/>
                <w:right w:val="none" w:sz="0" w:space="0" w:color="auto"/>
              </w:divBdr>
              <w:divsChild>
                <w:div w:id="23451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018913">
      <w:bodyDiv w:val="1"/>
      <w:marLeft w:val="0"/>
      <w:marRight w:val="0"/>
      <w:marTop w:val="0"/>
      <w:marBottom w:val="0"/>
      <w:divBdr>
        <w:top w:val="none" w:sz="0" w:space="0" w:color="auto"/>
        <w:left w:val="none" w:sz="0" w:space="0" w:color="auto"/>
        <w:bottom w:val="none" w:sz="0" w:space="0" w:color="auto"/>
        <w:right w:val="none" w:sz="0" w:space="0" w:color="auto"/>
      </w:divBdr>
      <w:divsChild>
        <w:div w:id="1561557722">
          <w:marLeft w:val="0"/>
          <w:marRight w:val="0"/>
          <w:marTop w:val="0"/>
          <w:marBottom w:val="0"/>
          <w:divBdr>
            <w:top w:val="none" w:sz="0" w:space="0" w:color="auto"/>
            <w:left w:val="none" w:sz="0" w:space="0" w:color="auto"/>
            <w:bottom w:val="none" w:sz="0" w:space="0" w:color="auto"/>
            <w:right w:val="none" w:sz="0" w:space="0" w:color="auto"/>
          </w:divBdr>
          <w:divsChild>
            <w:div w:id="76292367">
              <w:marLeft w:val="0"/>
              <w:marRight w:val="0"/>
              <w:marTop w:val="0"/>
              <w:marBottom w:val="0"/>
              <w:divBdr>
                <w:top w:val="none" w:sz="0" w:space="0" w:color="auto"/>
                <w:left w:val="none" w:sz="0" w:space="0" w:color="auto"/>
                <w:bottom w:val="none" w:sz="0" w:space="0" w:color="auto"/>
                <w:right w:val="none" w:sz="0" w:space="0" w:color="auto"/>
              </w:divBdr>
              <w:divsChild>
                <w:div w:id="144468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282055">
      <w:bodyDiv w:val="1"/>
      <w:marLeft w:val="0"/>
      <w:marRight w:val="0"/>
      <w:marTop w:val="0"/>
      <w:marBottom w:val="0"/>
      <w:divBdr>
        <w:top w:val="none" w:sz="0" w:space="0" w:color="auto"/>
        <w:left w:val="none" w:sz="0" w:space="0" w:color="auto"/>
        <w:bottom w:val="none" w:sz="0" w:space="0" w:color="auto"/>
        <w:right w:val="none" w:sz="0" w:space="0" w:color="auto"/>
      </w:divBdr>
      <w:divsChild>
        <w:div w:id="24410179">
          <w:marLeft w:val="0"/>
          <w:marRight w:val="0"/>
          <w:marTop w:val="0"/>
          <w:marBottom w:val="0"/>
          <w:divBdr>
            <w:top w:val="none" w:sz="0" w:space="0" w:color="auto"/>
            <w:left w:val="none" w:sz="0" w:space="0" w:color="auto"/>
            <w:bottom w:val="none" w:sz="0" w:space="0" w:color="auto"/>
            <w:right w:val="none" w:sz="0" w:space="0" w:color="auto"/>
          </w:divBdr>
          <w:divsChild>
            <w:div w:id="1897005670">
              <w:marLeft w:val="0"/>
              <w:marRight w:val="0"/>
              <w:marTop w:val="0"/>
              <w:marBottom w:val="0"/>
              <w:divBdr>
                <w:top w:val="none" w:sz="0" w:space="0" w:color="auto"/>
                <w:left w:val="none" w:sz="0" w:space="0" w:color="auto"/>
                <w:bottom w:val="none" w:sz="0" w:space="0" w:color="auto"/>
                <w:right w:val="none" w:sz="0" w:space="0" w:color="auto"/>
              </w:divBdr>
              <w:divsChild>
                <w:div w:id="151318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172352">
      <w:bodyDiv w:val="1"/>
      <w:marLeft w:val="0"/>
      <w:marRight w:val="0"/>
      <w:marTop w:val="0"/>
      <w:marBottom w:val="0"/>
      <w:divBdr>
        <w:top w:val="none" w:sz="0" w:space="0" w:color="auto"/>
        <w:left w:val="none" w:sz="0" w:space="0" w:color="auto"/>
        <w:bottom w:val="none" w:sz="0" w:space="0" w:color="auto"/>
        <w:right w:val="none" w:sz="0" w:space="0" w:color="auto"/>
      </w:divBdr>
    </w:div>
    <w:div w:id="1444031983">
      <w:bodyDiv w:val="1"/>
      <w:marLeft w:val="0"/>
      <w:marRight w:val="0"/>
      <w:marTop w:val="0"/>
      <w:marBottom w:val="0"/>
      <w:divBdr>
        <w:top w:val="none" w:sz="0" w:space="0" w:color="auto"/>
        <w:left w:val="none" w:sz="0" w:space="0" w:color="auto"/>
        <w:bottom w:val="none" w:sz="0" w:space="0" w:color="auto"/>
        <w:right w:val="none" w:sz="0" w:space="0" w:color="auto"/>
      </w:divBdr>
      <w:divsChild>
        <w:div w:id="1519200461">
          <w:marLeft w:val="0"/>
          <w:marRight w:val="0"/>
          <w:marTop w:val="0"/>
          <w:marBottom w:val="0"/>
          <w:divBdr>
            <w:top w:val="none" w:sz="0" w:space="0" w:color="auto"/>
            <w:left w:val="none" w:sz="0" w:space="0" w:color="auto"/>
            <w:bottom w:val="none" w:sz="0" w:space="0" w:color="auto"/>
            <w:right w:val="none" w:sz="0" w:space="0" w:color="auto"/>
          </w:divBdr>
          <w:divsChild>
            <w:div w:id="392705947">
              <w:marLeft w:val="0"/>
              <w:marRight w:val="0"/>
              <w:marTop w:val="0"/>
              <w:marBottom w:val="0"/>
              <w:divBdr>
                <w:top w:val="none" w:sz="0" w:space="0" w:color="auto"/>
                <w:left w:val="none" w:sz="0" w:space="0" w:color="auto"/>
                <w:bottom w:val="none" w:sz="0" w:space="0" w:color="auto"/>
                <w:right w:val="none" w:sz="0" w:space="0" w:color="auto"/>
              </w:divBdr>
              <w:divsChild>
                <w:div w:id="186065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583207">
      <w:bodyDiv w:val="1"/>
      <w:marLeft w:val="0"/>
      <w:marRight w:val="0"/>
      <w:marTop w:val="0"/>
      <w:marBottom w:val="0"/>
      <w:divBdr>
        <w:top w:val="none" w:sz="0" w:space="0" w:color="auto"/>
        <w:left w:val="none" w:sz="0" w:space="0" w:color="auto"/>
        <w:bottom w:val="none" w:sz="0" w:space="0" w:color="auto"/>
        <w:right w:val="none" w:sz="0" w:space="0" w:color="auto"/>
      </w:divBdr>
      <w:divsChild>
        <w:div w:id="1673141589">
          <w:marLeft w:val="0"/>
          <w:marRight w:val="0"/>
          <w:marTop w:val="0"/>
          <w:marBottom w:val="0"/>
          <w:divBdr>
            <w:top w:val="none" w:sz="0" w:space="0" w:color="auto"/>
            <w:left w:val="none" w:sz="0" w:space="0" w:color="auto"/>
            <w:bottom w:val="none" w:sz="0" w:space="0" w:color="auto"/>
            <w:right w:val="none" w:sz="0" w:space="0" w:color="auto"/>
          </w:divBdr>
          <w:divsChild>
            <w:div w:id="1550920236">
              <w:marLeft w:val="0"/>
              <w:marRight w:val="0"/>
              <w:marTop w:val="0"/>
              <w:marBottom w:val="0"/>
              <w:divBdr>
                <w:top w:val="none" w:sz="0" w:space="0" w:color="auto"/>
                <w:left w:val="none" w:sz="0" w:space="0" w:color="auto"/>
                <w:bottom w:val="none" w:sz="0" w:space="0" w:color="auto"/>
                <w:right w:val="none" w:sz="0" w:space="0" w:color="auto"/>
              </w:divBdr>
              <w:divsChild>
                <w:div w:id="5393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536301">
      <w:bodyDiv w:val="1"/>
      <w:marLeft w:val="0"/>
      <w:marRight w:val="0"/>
      <w:marTop w:val="0"/>
      <w:marBottom w:val="0"/>
      <w:divBdr>
        <w:top w:val="none" w:sz="0" w:space="0" w:color="auto"/>
        <w:left w:val="none" w:sz="0" w:space="0" w:color="auto"/>
        <w:bottom w:val="none" w:sz="0" w:space="0" w:color="auto"/>
        <w:right w:val="none" w:sz="0" w:space="0" w:color="auto"/>
      </w:divBdr>
    </w:div>
    <w:div w:id="1550413044">
      <w:bodyDiv w:val="1"/>
      <w:marLeft w:val="0"/>
      <w:marRight w:val="0"/>
      <w:marTop w:val="0"/>
      <w:marBottom w:val="0"/>
      <w:divBdr>
        <w:top w:val="none" w:sz="0" w:space="0" w:color="auto"/>
        <w:left w:val="none" w:sz="0" w:space="0" w:color="auto"/>
        <w:bottom w:val="none" w:sz="0" w:space="0" w:color="auto"/>
        <w:right w:val="none" w:sz="0" w:space="0" w:color="auto"/>
      </w:divBdr>
    </w:div>
    <w:div w:id="1573541917">
      <w:bodyDiv w:val="1"/>
      <w:marLeft w:val="0"/>
      <w:marRight w:val="0"/>
      <w:marTop w:val="0"/>
      <w:marBottom w:val="0"/>
      <w:divBdr>
        <w:top w:val="none" w:sz="0" w:space="0" w:color="auto"/>
        <w:left w:val="none" w:sz="0" w:space="0" w:color="auto"/>
        <w:bottom w:val="none" w:sz="0" w:space="0" w:color="auto"/>
        <w:right w:val="none" w:sz="0" w:space="0" w:color="auto"/>
      </w:divBdr>
      <w:divsChild>
        <w:div w:id="1314601633">
          <w:marLeft w:val="0"/>
          <w:marRight w:val="0"/>
          <w:marTop w:val="0"/>
          <w:marBottom w:val="0"/>
          <w:divBdr>
            <w:top w:val="none" w:sz="0" w:space="0" w:color="auto"/>
            <w:left w:val="none" w:sz="0" w:space="0" w:color="auto"/>
            <w:bottom w:val="none" w:sz="0" w:space="0" w:color="auto"/>
            <w:right w:val="none" w:sz="0" w:space="0" w:color="auto"/>
          </w:divBdr>
          <w:divsChild>
            <w:div w:id="1983580730">
              <w:marLeft w:val="0"/>
              <w:marRight w:val="0"/>
              <w:marTop w:val="0"/>
              <w:marBottom w:val="0"/>
              <w:divBdr>
                <w:top w:val="none" w:sz="0" w:space="0" w:color="auto"/>
                <w:left w:val="none" w:sz="0" w:space="0" w:color="auto"/>
                <w:bottom w:val="none" w:sz="0" w:space="0" w:color="auto"/>
                <w:right w:val="none" w:sz="0" w:space="0" w:color="auto"/>
              </w:divBdr>
              <w:divsChild>
                <w:div w:id="35384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825151">
      <w:bodyDiv w:val="1"/>
      <w:marLeft w:val="0"/>
      <w:marRight w:val="0"/>
      <w:marTop w:val="0"/>
      <w:marBottom w:val="0"/>
      <w:divBdr>
        <w:top w:val="none" w:sz="0" w:space="0" w:color="auto"/>
        <w:left w:val="none" w:sz="0" w:space="0" w:color="auto"/>
        <w:bottom w:val="none" w:sz="0" w:space="0" w:color="auto"/>
        <w:right w:val="none" w:sz="0" w:space="0" w:color="auto"/>
      </w:divBdr>
    </w:div>
    <w:div w:id="1700466310">
      <w:bodyDiv w:val="1"/>
      <w:marLeft w:val="0"/>
      <w:marRight w:val="0"/>
      <w:marTop w:val="0"/>
      <w:marBottom w:val="0"/>
      <w:divBdr>
        <w:top w:val="none" w:sz="0" w:space="0" w:color="auto"/>
        <w:left w:val="none" w:sz="0" w:space="0" w:color="auto"/>
        <w:bottom w:val="none" w:sz="0" w:space="0" w:color="auto"/>
        <w:right w:val="none" w:sz="0" w:space="0" w:color="auto"/>
      </w:divBdr>
      <w:divsChild>
        <w:div w:id="1485470411">
          <w:marLeft w:val="0"/>
          <w:marRight w:val="0"/>
          <w:marTop w:val="0"/>
          <w:marBottom w:val="0"/>
          <w:divBdr>
            <w:top w:val="none" w:sz="0" w:space="0" w:color="auto"/>
            <w:left w:val="none" w:sz="0" w:space="0" w:color="auto"/>
            <w:bottom w:val="none" w:sz="0" w:space="0" w:color="auto"/>
            <w:right w:val="none" w:sz="0" w:space="0" w:color="auto"/>
          </w:divBdr>
          <w:divsChild>
            <w:div w:id="298390058">
              <w:marLeft w:val="0"/>
              <w:marRight w:val="0"/>
              <w:marTop w:val="0"/>
              <w:marBottom w:val="0"/>
              <w:divBdr>
                <w:top w:val="none" w:sz="0" w:space="0" w:color="auto"/>
                <w:left w:val="none" w:sz="0" w:space="0" w:color="auto"/>
                <w:bottom w:val="none" w:sz="0" w:space="0" w:color="auto"/>
                <w:right w:val="none" w:sz="0" w:space="0" w:color="auto"/>
              </w:divBdr>
              <w:divsChild>
                <w:div w:id="104513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405855">
      <w:bodyDiv w:val="1"/>
      <w:marLeft w:val="0"/>
      <w:marRight w:val="0"/>
      <w:marTop w:val="0"/>
      <w:marBottom w:val="0"/>
      <w:divBdr>
        <w:top w:val="none" w:sz="0" w:space="0" w:color="auto"/>
        <w:left w:val="none" w:sz="0" w:space="0" w:color="auto"/>
        <w:bottom w:val="none" w:sz="0" w:space="0" w:color="auto"/>
        <w:right w:val="none" w:sz="0" w:space="0" w:color="auto"/>
      </w:divBdr>
      <w:divsChild>
        <w:div w:id="1538397278">
          <w:marLeft w:val="0"/>
          <w:marRight w:val="0"/>
          <w:marTop w:val="0"/>
          <w:marBottom w:val="0"/>
          <w:divBdr>
            <w:top w:val="none" w:sz="0" w:space="0" w:color="auto"/>
            <w:left w:val="none" w:sz="0" w:space="0" w:color="auto"/>
            <w:bottom w:val="none" w:sz="0" w:space="0" w:color="auto"/>
            <w:right w:val="none" w:sz="0" w:space="0" w:color="auto"/>
          </w:divBdr>
          <w:divsChild>
            <w:div w:id="487018427">
              <w:marLeft w:val="0"/>
              <w:marRight w:val="0"/>
              <w:marTop w:val="0"/>
              <w:marBottom w:val="0"/>
              <w:divBdr>
                <w:top w:val="none" w:sz="0" w:space="0" w:color="auto"/>
                <w:left w:val="none" w:sz="0" w:space="0" w:color="auto"/>
                <w:bottom w:val="none" w:sz="0" w:space="0" w:color="auto"/>
                <w:right w:val="none" w:sz="0" w:space="0" w:color="auto"/>
              </w:divBdr>
              <w:divsChild>
                <w:div w:id="133399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013410">
      <w:bodyDiv w:val="1"/>
      <w:marLeft w:val="0"/>
      <w:marRight w:val="0"/>
      <w:marTop w:val="0"/>
      <w:marBottom w:val="0"/>
      <w:divBdr>
        <w:top w:val="none" w:sz="0" w:space="0" w:color="auto"/>
        <w:left w:val="none" w:sz="0" w:space="0" w:color="auto"/>
        <w:bottom w:val="none" w:sz="0" w:space="0" w:color="auto"/>
        <w:right w:val="none" w:sz="0" w:space="0" w:color="auto"/>
      </w:divBdr>
      <w:divsChild>
        <w:div w:id="177545852">
          <w:marLeft w:val="0"/>
          <w:marRight w:val="0"/>
          <w:marTop w:val="0"/>
          <w:marBottom w:val="0"/>
          <w:divBdr>
            <w:top w:val="none" w:sz="0" w:space="0" w:color="auto"/>
            <w:left w:val="none" w:sz="0" w:space="0" w:color="auto"/>
            <w:bottom w:val="none" w:sz="0" w:space="0" w:color="auto"/>
            <w:right w:val="none" w:sz="0" w:space="0" w:color="auto"/>
          </w:divBdr>
          <w:divsChild>
            <w:div w:id="930743240">
              <w:marLeft w:val="0"/>
              <w:marRight w:val="0"/>
              <w:marTop w:val="0"/>
              <w:marBottom w:val="0"/>
              <w:divBdr>
                <w:top w:val="none" w:sz="0" w:space="0" w:color="auto"/>
                <w:left w:val="none" w:sz="0" w:space="0" w:color="auto"/>
                <w:bottom w:val="none" w:sz="0" w:space="0" w:color="auto"/>
                <w:right w:val="none" w:sz="0" w:space="0" w:color="auto"/>
              </w:divBdr>
              <w:divsChild>
                <w:div w:id="8299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463733">
      <w:bodyDiv w:val="1"/>
      <w:marLeft w:val="0"/>
      <w:marRight w:val="0"/>
      <w:marTop w:val="0"/>
      <w:marBottom w:val="0"/>
      <w:divBdr>
        <w:top w:val="none" w:sz="0" w:space="0" w:color="auto"/>
        <w:left w:val="none" w:sz="0" w:space="0" w:color="auto"/>
        <w:bottom w:val="none" w:sz="0" w:space="0" w:color="auto"/>
        <w:right w:val="none" w:sz="0" w:space="0" w:color="auto"/>
      </w:divBdr>
      <w:divsChild>
        <w:div w:id="508184074">
          <w:marLeft w:val="0"/>
          <w:marRight w:val="0"/>
          <w:marTop w:val="0"/>
          <w:marBottom w:val="0"/>
          <w:divBdr>
            <w:top w:val="none" w:sz="0" w:space="0" w:color="auto"/>
            <w:left w:val="none" w:sz="0" w:space="0" w:color="auto"/>
            <w:bottom w:val="none" w:sz="0" w:space="0" w:color="auto"/>
            <w:right w:val="none" w:sz="0" w:space="0" w:color="auto"/>
          </w:divBdr>
          <w:divsChild>
            <w:div w:id="1822581591">
              <w:marLeft w:val="0"/>
              <w:marRight w:val="0"/>
              <w:marTop w:val="0"/>
              <w:marBottom w:val="0"/>
              <w:divBdr>
                <w:top w:val="none" w:sz="0" w:space="0" w:color="auto"/>
                <w:left w:val="none" w:sz="0" w:space="0" w:color="auto"/>
                <w:bottom w:val="none" w:sz="0" w:space="0" w:color="auto"/>
                <w:right w:val="none" w:sz="0" w:space="0" w:color="auto"/>
              </w:divBdr>
              <w:divsChild>
                <w:div w:id="205615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849762">
      <w:bodyDiv w:val="1"/>
      <w:marLeft w:val="0"/>
      <w:marRight w:val="0"/>
      <w:marTop w:val="0"/>
      <w:marBottom w:val="0"/>
      <w:divBdr>
        <w:top w:val="none" w:sz="0" w:space="0" w:color="auto"/>
        <w:left w:val="none" w:sz="0" w:space="0" w:color="auto"/>
        <w:bottom w:val="none" w:sz="0" w:space="0" w:color="auto"/>
        <w:right w:val="none" w:sz="0" w:space="0" w:color="auto"/>
      </w:divBdr>
      <w:divsChild>
        <w:div w:id="297422199">
          <w:marLeft w:val="0"/>
          <w:marRight w:val="0"/>
          <w:marTop w:val="0"/>
          <w:marBottom w:val="0"/>
          <w:divBdr>
            <w:top w:val="none" w:sz="0" w:space="0" w:color="auto"/>
            <w:left w:val="none" w:sz="0" w:space="0" w:color="auto"/>
            <w:bottom w:val="none" w:sz="0" w:space="0" w:color="auto"/>
            <w:right w:val="none" w:sz="0" w:space="0" w:color="auto"/>
          </w:divBdr>
          <w:divsChild>
            <w:div w:id="1646742190">
              <w:marLeft w:val="0"/>
              <w:marRight w:val="0"/>
              <w:marTop w:val="0"/>
              <w:marBottom w:val="0"/>
              <w:divBdr>
                <w:top w:val="none" w:sz="0" w:space="0" w:color="auto"/>
                <w:left w:val="none" w:sz="0" w:space="0" w:color="auto"/>
                <w:bottom w:val="none" w:sz="0" w:space="0" w:color="auto"/>
                <w:right w:val="none" w:sz="0" w:space="0" w:color="auto"/>
              </w:divBdr>
              <w:divsChild>
                <w:div w:id="23732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1486</Words>
  <Characters>8476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Benitez (TI PA)</dc:creator>
  <cp:keywords/>
  <dc:description/>
  <cp:lastModifiedBy>José Benitez (TI PA)</cp:lastModifiedBy>
  <cp:revision>12</cp:revision>
  <dcterms:created xsi:type="dcterms:W3CDTF">2024-08-14T13:41:00Z</dcterms:created>
  <dcterms:modified xsi:type="dcterms:W3CDTF">2024-08-15T16:11:00Z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id="f3fDpkZd"/&gt;&lt;style id="http://www.zotero.org/styles/chicago-author-date"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y fmtid="{D5CDD505-2E9C-101B-9397-08002B2CF9AE}" pid="4" name="ZOTERO_BREF_64wpBISens3W4g7NsTri5_1">
    <vt:lpwstr>ZOTERO_ITEM CSL_CITATION {"citationID":"YkcYNjeZ","properties":{"formattedCitation":"(Yotov {\\i{}et al.}, 2016)","plainCitation":"(Yotov et al., 2016)","noteIndex":0},"citationItems":[{"id":194,"uris":["http://zotero.org/users/13839746/items/TR9BRTSS"],"</vt:lpwstr>
  </property>
  <property fmtid="{D5CDD505-2E9C-101B-9397-08002B2CF9AE}" pid="5" name="ZOTERO_BREF_64wpBISens3W4g7NsTri5_2">
    <vt:lpwstr>itemData":{"id":194,"type":"book","ISBN":"978-92-870-4368-9","language":"en","note":"DOI: 10.30875/abc0167e-en","publisher":"WTO","source":"DOI.org (Crossref)","title":"An Advanced Guide to Trade Policy Analysis​: The Structural Gravity Model","title-shor</vt:lpwstr>
  </property>
  <property fmtid="{D5CDD505-2E9C-101B-9397-08002B2CF9AE}" pid="6" name="ZOTERO_BREF_64wpBISens3W4g7NsTri5_3">
    <vt:lpwstr>t":"An Advanced Guide to Trade Policy Analysis​","URL":"https://www.wto-ilibrary.org/content/books/9789287043689","author":[{"family":"Yotov","given":"Yoto V."},{"family":"Piermartini","given":"Roberta"},{"family":"Monteiro","given":"José-Antonio"},{"fami</vt:lpwstr>
  </property>
  <property fmtid="{D5CDD505-2E9C-101B-9397-08002B2CF9AE}" pid="7" name="ZOTERO_BREF_64wpBISens3W4g7NsTri5_4">
    <vt:lpwstr>ly":"Larch","given":"Mario"}],"accessed":{"date-parts":[["2024",7,24]]},"issued":{"date-parts":[["2016",11,15]]}}}],"schema":"https://github.com/citation-style-language/schema/raw/master/csl-citation.json"} </vt:lpwstr>
  </property>
  <property fmtid="{D5CDD505-2E9C-101B-9397-08002B2CF9AE}" pid="8" name="ZOTERO_BREF_JAPkVmT2juvvSJXEp6Uvh_1">
    <vt:lpwstr>ZOTERO_ITEM CSL_CITATION {"citationID":"698OdPsZ","properties":{"formattedCitation":"(Anderson, 1979)","plainCitation":"(Anderson, 1979)","noteIndex":0},"citationItems":[{"id":251,"uris":["http://zotero.org/users/13839746/items/8RNPUHAC"],"itemData":{"id"</vt:lpwstr>
  </property>
  <property fmtid="{D5CDD505-2E9C-101B-9397-08002B2CF9AE}" pid="9" name="ZOTERO_BREF_JAPkVmT2juvvSJXEp6Uvh_2">
    <vt:lpwstr>:251,"type":"article-journal","container-title":"The American Economic Review","ISSN":"0002-8282","issue":"1","note":"publisher: American Economic Association","page":"106-116","source":"JSTOR","title":"A Theoretical Foundation for the Gravity Equation","</vt:lpwstr>
  </property>
  <property fmtid="{D5CDD505-2E9C-101B-9397-08002B2CF9AE}" pid="10" name="ZOTERO_BREF_JAPkVmT2juvvSJXEp6Uvh_3">
    <vt:lpwstr>volume":"69","author":[{"family":"Anderson","given":"James E."}],"issued":{"date-parts":[["1979"]]}}}],"schema":"https://github.com/citation-style-language/schema/raw/master/csl-citation.json"} </vt:lpwstr>
  </property>
  <property fmtid="{D5CDD505-2E9C-101B-9397-08002B2CF9AE}" pid="11" name="ZOTERO_BREF_5X0DmdTcXu1rRVjiO8rkM_1">
    <vt:lpwstr>ZOTERO_ITEM CSL_CITATION {"citationID":"a3JgXMpG","properties":{"formattedCitation":"(Yotov {\\i{}et al.}, 2016; Chatzilazarou and Dadakas, 2023)","plainCitation":"(Yotov et al., 2016; Chatzilazarou and Dadakas, 2023)","noteIndex":0},"citationItems":[{"id</vt:lpwstr>
  </property>
  <property fmtid="{D5CDD505-2E9C-101B-9397-08002B2CF9AE}" pid="12" name="ZOTERO_BREF_5X0DmdTcXu1rRVjiO8rkM_2">
    <vt:lpwstr>":194,"uris":["http://zotero.org/users/13839746/items/TR9BRTSS"],"itemData":{"id":194,"type":"book","ISBN":"978-92-870-4368-9","language":"en","note":"DOI: 10.30875/abc0167e-en","publisher":"WTO","source":"DOI.org (Crossref)","title":"An Advanced Guide to</vt:lpwstr>
  </property>
  <property fmtid="{D5CDD505-2E9C-101B-9397-08002B2CF9AE}" pid="13" name="ZOTERO_BREF_5X0DmdTcXu1rRVjiO8rkM_3">
    <vt:lpwstr> Trade Policy Analysis​: The Structural Gravity Model","title-short":"An Advanced Guide to Trade Policy Analysis​","URL":"https://www.wto-ilibrary.org/content/books/9789287043689","author":[{"family":"Yotov","given":"Yoto V."},{"family":"Piermartini","giv</vt:lpwstr>
  </property>
  <property fmtid="{D5CDD505-2E9C-101B-9397-08002B2CF9AE}" pid="14" name="ZOTERO_BREF_5X0DmdTcXu1rRVjiO8rkM_4">
    <vt:lpwstr>en":"Roberta"},{"family":"Monteiro","given":"José-Antonio"},{"family":"Larch","given":"Mario"}],"accessed":{"date-parts":[["2024",7,24]]},"issued":{"date-parts":[["2016",11,15]]}}},{"id":249,"uris":["http://zotero.org/users/13839746/items/CUKBCPKK"],"item</vt:lpwstr>
  </property>
  <property fmtid="{D5CDD505-2E9C-101B-9397-08002B2CF9AE}" pid="15" name="ZOTERO_BREF_5X0DmdTcXu1rRVjiO8rkM_5">
    <vt:lpwstr>Data":{"id":249,"type":"article-journal","abstract":"Purpose This study deals with changes in European Union's (EU's) trade potential in Machinery (HS 84–85) and Transportation (HS86-89) products. Design/methodology/approach The study uses a Structural Gr</vt:lpwstr>
  </property>
  <property fmtid="{D5CDD505-2E9C-101B-9397-08002B2CF9AE}" pid="16" name="ZOTERO_BREF_5X0DmdTcXu1rRVjiO8rkM_6">
    <vt:lpwstr>avity model, Poisson Pseudo Maximum Likelihood (PPML) estimation together with panel data for the years 2002–2018 and a two-step procedure that employs predicted values of bilateral trade to compare potential to actual trade. Findings Results for Machiner</vt:lpwstr>
  </property>
  <property fmtid="{D5CDD505-2E9C-101B-9397-08002B2CF9AE}" pid="17" name="ZOTERO_BREF_5X0DmdTcXu1rRVjiO8rkM_7">
    <vt:lpwstr>y products suggest a potential to expand trade with existing Regional Trade Agreements (RTAs) in the American continent, and countries of the IGAD region in Africa. In Transportation, a high trade potential with RTAs is found in the Americas, Africa and t</vt:lpwstr>
  </property>
  <property fmtid="{D5CDD505-2E9C-101B-9397-08002B2CF9AE}" pid="18" name="ZOTERO_BREF_5X0DmdTcXu1rRVjiO8rkM_8">
    <vt:lpwstr>he Middle East. Policy suggestions concentrate on opportunities for enhancing trade relations through trade liberalization and agreement proliferation. Originality/value There are no studies to date, that examine “collective” measure of EU trade potential</vt:lpwstr>
  </property>
  <property fmtid="{D5CDD505-2E9C-101B-9397-08002B2CF9AE}" pid="19" name="ZOTERO_BREF_5X0DmdTcXu1rRVjiO8rkM_9">
    <vt:lpwstr>, that treats the EU as a single country. Changes in existing opportunities to expand trade, common for EU members, are of special interest for policy formulation, especially after the recent turmoil presented by the Global Financial Crisis (GFC) and the </vt:lpwstr>
  </property>
  <property fmtid="{D5CDD505-2E9C-101B-9397-08002B2CF9AE}" pid="20" name="ZOTERO_BREF_5X0DmdTcXu1rRVjiO8rkM_10">
    <vt:lpwstr>Greek Economic Crisis (GEC). Treating the EU as a single entity, is necessary for the formulation of an effective, common, EU trade policy. This study concentrates on the manufacturing sector to examine existing opportunities for the EU to expand trade, a</vt:lpwstr>
  </property>
  <property fmtid="{D5CDD505-2E9C-101B-9397-08002B2CF9AE}" pid="21" name="ZOTERO_BREF_5X0DmdTcXu1rRVjiO8rkM_11">
    <vt:lpwstr>fter the GFC and the GEC. This article deals with Machinery (HS 84 and 85) and Transportation (HS 86 through 89) products as they comprise a significant part of total EU exports, reaching 41% of total exports in 2016. Finally, this study offers a unique i</vt:lpwstr>
  </property>
  <property fmtid="{D5CDD505-2E9C-101B-9397-08002B2CF9AE}" pid="22" name="ZOTERO_BREF_5X0DmdTcXu1rRVjiO8rkM_12">
    <vt:lpwstr>llustration of results through trade potential heat maps.","container-title":"Journal of Economic Studies","DOI":"10.1108/JES-06-2023-0292","ISSN":"0144-3585","issue":"5","note":"publisher: Emerald Publishing Limited","page":"1144-1163","source":"Emerald </vt:lpwstr>
  </property>
  <property fmtid="{D5CDD505-2E9C-101B-9397-08002B2CF9AE}" pid="23" name="ZOTERO_BREF_5X0DmdTcXu1rRVjiO8rkM_13">
    <vt:lpwstr>Insight","title":"Trade potential in European Union manufacturing","volume":"51","author":[{"family":"Chatzilazarou","given":"Lazaros Antonios"},{"family":"Dadakas","given":"Dimitrios"}],"issued":{"date-parts":[["2023",1,1]]}}}],"schema":"https://github.c</vt:lpwstr>
  </property>
  <property fmtid="{D5CDD505-2E9C-101B-9397-08002B2CF9AE}" pid="24" name="ZOTERO_BREF_5X0DmdTcXu1rRVjiO8rkM_14">
    <vt:lpwstr>om/citation-style-language/schema/raw/master/csl-citation.json"} </vt:lpwstr>
  </property>
  <property fmtid="{D5CDD505-2E9C-101B-9397-08002B2CF9AE}" pid="25" name="ZOTERO_BREF_3B0s4lKduqkmoZmE7hUr5_1">
    <vt:lpwstr>ZOTERO_ITEM CSL_CITATION {"citationID":"WY5ao1Fv","properties":{"formattedCitation":"(Anderson and van Wincoop, 2003)","plainCitation":"(Anderson and van Wincoop, 2003)","noteIndex":0},"citationItems":[{"id":253,"uris":["http://zotero.org/users/13839746/i</vt:lpwstr>
  </property>
  <property fmtid="{D5CDD505-2E9C-101B-9397-08002B2CF9AE}" pid="26" name="ZOTERO_BREF_3B0s4lKduqkmoZmE7hUr5_2">
    <vt:lpwstr>tems/BRTAEV93"],"itemData":{"id":253,"type":"article-journal","abstract":"Gravity equations have been widely used to infer trade flow effects of various institutional arrangements. We show that estimated gravity equations do not have a theoretical foundat</vt:lpwstr>
  </property>
  <property fmtid="{D5CDD505-2E9C-101B-9397-08002B2CF9AE}" pid="27" name="ZOTERO_BREF_3B0s4lKduqkmoZmE7hUr5_3">
    <vt:lpwstr>ion. This implies both that estimation suffers from omitted variables bias and that comparative statics analysis is unfounded. We develop a method that (i) consistently and efficiently estimates a theoretical gravity equation and (ii) correctly calculates</vt:lpwstr>
  </property>
  <property fmtid="{D5CDD505-2E9C-101B-9397-08002B2CF9AE}" pid="28" name="ZOTERO_BREF_3B0s4lKduqkmoZmE7hUr5_4">
    <vt:lpwstr> the comparative statics of trade frictions. We apply the method to solve the famous McCallum border puzzle. Applying our method, we find that national borders reduce trade between industrialized countries by moderate amounts of 20-50 percent.","container</vt:lpwstr>
  </property>
  <property fmtid="{D5CDD505-2E9C-101B-9397-08002B2CF9AE}" pid="29" name="ZOTERO_BREF_3B0s4lKduqkmoZmE7hUr5_5">
    <vt:lpwstr>-title":"The American Economic Review","ISSN":"0002-8282","issue":"1","note":"publisher: American Economic Association","page":"170-192","source":"JSTOR","title":"Gravity with Gravitas: A Solution to the Border Puzzle","title-short":"Gravity with Gravitas</vt:lpwstr>
  </property>
  <property fmtid="{D5CDD505-2E9C-101B-9397-08002B2CF9AE}" pid="30" name="ZOTERO_BREF_3B0s4lKduqkmoZmE7hUr5_6">
    <vt:lpwstr>","volume":"93","author":[{"family":"Anderson","given":"James E."},{"family":"Wincoop","given":"Eric","non-dropping-particle":"van"}],"issued":{"date-parts":[["2003"]]}}}],"schema":"https://github.com/citation-style-language/schema/raw/master/csl-citation</vt:lpwstr>
  </property>
  <property fmtid="{D5CDD505-2E9C-101B-9397-08002B2CF9AE}" pid="31" name="ZOTERO_BREF_3B0s4lKduqkmoZmE7hUr5_7">
    <vt:lpwstr>.json"} </vt:lpwstr>
  </property>
  <property fmtid="{D5CDD505-2E9C-101B-9397-08002B2CF9AE}" pid="32" name="ZOTERO_BREF_SqbDuEXqtdTHsUWPnCbLC_1">
    <vt:lpwstr>ZOTERO_ITEM CSL_CITATION {"citationID":"0Dqczn0F","properties":{"formattedCitation":"(Olivero and Yotov, 2012)","plainCitation":"(Olivero and Yotov, 2012)","noteIndex":0},"citationItems":[{"id":261,"uris":["http://zotero.org/users/13839746/items/RE5VLUSZ"</vt:lpwstr>
  </property>
  <property fmtid="{D5CDD505-2E9C-101B-9397-08002B2CF9AE}" pid="33" name="ZOTERO_BREF_SqbDuEXqtdTHsUWPnCbLC_2">
    <vt:lpwstr>],"itemData":{"id":261,"type":"article-journal","abstract":"Numerous gravity applications have resorted to panel data econometric techniques over the past decade. However, with the theory of gravity being so far only static, these estimations lack solid s</vt:lpwstr>
  </property>
  <property fmtid="{D5CDD505-2E9C-101B-9397-08002B2CF9AE}" pid="34" name="ZOTERO_BREF_SqbDuEXqtdTHsUWPnCbLC_3">
    <vt:lpwstr>tructural dynamic foundations. As a consequence, a consensus on a unified dynamic gravity estimation approach is yet to be reached. In this paper, (i) we build the theoretical foundations for a dynamic gravity model, (ii) we provide guidance for gravity-t</vt:lpwstr>
  </property>
  <property fmtid="{D5CDD505-2E9C-101B-9397-08002B2CF9AE}" pid="35" name="ZOTERO_BREF_SqbDuEXqtdTHsUWPnCbLC_4">
    <vt:lpwstr>ype estimations with panel data and we consider applications, and (iii) we calibrate and simulate our model to compare its properties with those of the standard, static gravity setup.","container-title":"Canadian Journal of Economics/Revue canadienne d'éc</vt:lpwstr>
  </property>
  <property fmtid="{D5CDD505-2E9C-101B-9397-08002B2CF9AE}" pid="36" name="ZOTERO_BREF_SqbDuEXqtdTHsUWPnCbLC_5">
    <vt:lpwstr>onomique","DOI":"10.1111/j.1540-5982.2011.01687.x","ISSN":"1540-5982","issue":"1","language":"en","license":"© Canadian Economics Association","note":"_eprint: https://onlinelibrary.wiley.com/doi/pdf/10.1111/j.1540-5982.2011.01687.x","page":"64-92","sourc</vt:lpwstr>
  </property>
  <property fmtid="{D5CDD505-2E9C-101B-9397-08002B2CF9AE}" pid="37" name="ZOTERO_BREF_SqbDuEXqtdTHsUWPnCbLC_6">
    <vt:lpwstr>e":"Wiley Online Library","title":"Dynamic gravity: endogenous country size and asset accumulation","title-short":"Dynamic gravity","volume":"45","author":[{"family":"Olivero","given":"María Pía"},{"family":"Yotov","given":"Yoto V."}],"issued":{"date-part</vt:lpwstr>
  </property>
  <property fmtid="{D5CDD505-2E9C-101B-9397-08002B2CF9AE}" pid="38" name="ZOTERO_BREF_SqbDuEXqtdTHsUWPnCbLC_7">
    <vt:lpwstr>s":[["2012"]]}}}],"schema":"https://github.com/citation-style-language/schema/raw/master/csl-citation.json"} </vt:lpwstr>
  </property>
  <property fmtid="{D5CDD505-2E9C-101B-9397-08002B2CF9AE}" pid="39" name="ZOTERO_BREF_J6UykbNogWwes6hmP8yWU_1">
    <vt:lpwstr>ZOTERO_ITEM CSL_CITATION {"citationID":"yOX4x69A","properties":{"formattedCitation":"(Yotov {\\i{}et al.}, 2016)","plainCitation":"(Yotov et al., 2016)","noteIndex":0},"citationItems":[{"id":194,"uris":["http://zotero.org/users/13839746/items/TR9BRTSS"],"</vt:lpwstr>
  </property>
  <property fmtid="{D5CDD505-2E9C-101B-9397-08002B2CF9AE}" pid="40" name="ZOTERO_BREF_J6UykbNogWwes6hmP8yWU_2">
    <vt:lpwstr>itemData":{"id":194,"type":"book","ISBN":"978-92-870-4368-9","language":"en","note":"DOI: 10.30875/abc0167e-en","publisher":"WTO","source":"DOI.org (Crossref)","title":"An Advanced Guide to Trade Policy Analysis​: The Structural Gravity Model","title-shor</vt:lpwstr>
  </property>
  <property fmtid="{D5CDD505-2E9C-101B-9397-08002B2CF9AE}" pid="41" name="ZOTERO_BREF_J6UykbNogWwes6hmP8yWU_3">
    <vt:lpwstr>t":"An Advanced Guide to Trade Policy Analysis​","URL":"https://www.wto-ilibrary.org/content/books/9789287043689","author":[{"family":"Yotov","given":"Yoto V."},{"family":"Piermartini","given":"Roberta"},{"family":"Monteiro","given":"José-Antonio"},{"fami</vt:lpwstr>
  </property>
  <property fmtid="{D5CDD505-2E9C-101B-9397-08002B2CF9AE}" pid="42" name="ZOTERO_BREF_J6UykbNogWwes6hmP8yWU_4">
    <vt:lpwstr>ly":"Larch","given":"Mario"}],"accessed":{"date-parts":[["2024",7,24]]},"issued":{"date-parts":[["2016",11,15]]}}}],"schema":"https://github.com/citation-style-language/schema/raw/master/csl-citation.json"} </vt:lpwstr>
  </property>
  <property fmtid="{D5CDD505-2E9C-101B-9397-08002B2CF9AE}" pid="43" name="ZOTERO_BREF_F8s8XwYJJnE51a8wTcKJw_1">
    <vt:lpwstr>ZOTERO_ITEM CSL_CITATION {"citationID":"g0PBEUhr","properties":{"formattedCitation":"(Silva and Tenreyro, 2006; Santos Silva and Tenreyro, 2011)","plainCitation":"(Silva and Tenreyro, 2006; Santos Silva and Tenreyro, 2011)","noteIndex":0},"citationItems":</vt:lpwstr>
  </property>
  <property fmtid="{D5CDD505-2E9C-101B-9397-08002B2CF9AE}" pid="44" name="ZOTERO_BREF_F8s8XwYJJnE51a8wTcKJw_2">
    <vt:lpwstr>[{"id":242,"uris":["http://zotero.org/users/13839746/items/XM3TTKYE"],"itemData":{"id":242,"type":"article-journal","abstract":"Although economists have long been aware of Jensen's in-equality, many econometric applications have neglected an important imp</vt:lpwstr>
  </property>
  <property fmtid="{D5CDD505-2E9C-101B-9397-08002B2CF9AE}" pid="45" name="ZOTERO_BREF_F8s8XwYJJnE51a8wTcKJw_3">
    <vt:lpwstr>lication of it: under heteroskedasticity, the parameters of log-linearized models estimated by OLS lead to biased estimates of the true elasticities. We explain why this problem arises and propose an appropriate estimator. Our criticism of conventional pr</vt:lpwstr>
  </property>
  <property fmtid="{D5CDD505-2E9C-101B-9397-08002B2CF9AE}" pid="46" name="ZOTERO_BREF_F8s8XwYJJnE51a8wTcKJw_4">
    <vt:lpwstr>actices and the proposed solution extend to a broad range of applications where log-linearized equations are estimated. We develop the argument using one particular illustration, the gravity equation for trade. We find significant differences between esti</vt:lpwstr>
  </property>
  <property fmtid="{D5CDD505-2E9C-101B-9397-08002B2CF9AE}" pid="47" name="ZOTERO_BREF_F8s8XwYJJnE51a8wTcKJw_5">
    <vt:lpwstr>mates obtained with the proposed estimator and those obtained with the traditional method.","container-title":"The Review of Economics and Statistics","ISSN":"0034-6535","issue":"4","note":"publisher: The MIT Press","page":"641-658","source":"JSTOR","titl</vt:lpwstr>
  </property>
  <property fmtid="{D5CDD505-2E9C-101B-9397-08002B2CF9AE}" pid="48" name="ZOTERO_BREF_F8s8XwYJJnE51a8wTcKJw_6">
    <vt:lpwstr>e":"The Log of Gravity","volume":"88","author":[{"family":"Silva","given":"J. M. C. Santos"},{"family":"Tenreyro","given":"Silvana"}],"issued":{"date-parts":[["2006"]]}}},{"id":244,"uris":["http://zotero.org/users/13839746/items/AWZMKKSB"],"itemData":{"id</vt:lpwstr>
  </property>
  <property fmtid="{D5CDD505-2E9C-101B-9397-08002B2CF9AE}" pid="49" name="ZOTERO_BREF_F8s8XwYJJnE51a8wTcKJw_7">
    <vt:lpwstr>":244,"type":"article-journal","abstract":"We extend the simulation results in Santos Silva and Tenreyro (2006, The log of gravity, The Review of Economics and Statistics, 88, 641–658) by considering a novel data-generating process. Our results confirm th</vt:lpwstr>
  </property>
  <property fmtid="{D5CDD505-2E9C-101B-9397-08002B2CF9AE}" pid="50" name="ZOTERO_BREF_F8s8XwYJJnE51a8wTcKJw_8">
    <vt:lpwstr>at the Poisson pseudo-maximum likelihood estimator is generally well behaved, even when the proportion of zeros in the sample is very large.","container-title":"Economics Letters","DOI":"10.1016/j.econlet.2011.05.008","ISSN":"0165-1765","issue":"2","journ</vt:lpwstr>
  </property>
  <property fmtid="{D5CDD505-2E9C-101B-9397-08002B2CF9AE}" pid="51" name="ZOTERO_BREF_F8s8XwYJJnE51a8wTcKJw_9">
    <vt:lpwstr>alAbbreviation":"Economics Letters","page":"220-222","source":"ScienceDirect","title":"Further simulation evidence on the performance of the Poisson pseudo-maximum likelihood estimator","volume":"112","author":[{"family":"Santos Silva","given":"J. M. C."}</vt:lpwstr>
  </property>
  <property fmtid="{D5CDD505-2E9C-101B-9397-08002B2CF9AE}" pid="52" name="ZOTERO_BREF_F8s8XwYJJnE51a8wTcKJw_10">
    <vt:lpwstr>,{"family":"Tenreyro","given":"Silvana"}],"issued":{"date-parts":[["2011",8,1]]}}}],"schema":"https://github.com/citation-style-language/schema/raw/master/csl-citation.json"} </vt:lpwstr>
  </property>
  <property fmtid="{D5CDD505-2E9C-101B-9397-08002B2CF9AE}" pid="53" name="ZOTERO_BREF_4zZGELnXofAS7yfQ0HLQm_1">
    <vt:lpwstr>ZOTERO_ITEM CSL_CITATION {"citationID":"KB7HQQap","properties":{"formattedCitation":"(Baier and Bergstrand, 2007)","plainCitation":"(Baier and Bergstrand, 2007)","noteIndex":0},"citationItems":[{"id":232,"uris":["http://zotero.org/users/13839746/items/BL7</vt:lpwstr>
  </property>
  <property fmtid="{D5CDD505-2E9C-101B-9397-08002B2CF9AE}" pid="54" name="ZOTERO_BREF_4zZGELnXofAS7yfQ0HLQm_2">
    <vt:lpwstr>7KKLZ"],"itemData":{"id":232,"type":"article-journal","abstract":"For over 40 years, the gravity equation has been a workhorse for cross-country empirical analyses of international trade flows and — in particular — the effects of free trade agreements (FT</vt:lpwstr>
  </property>
  <property fmtid="{D5CDD505-2E9C-101B-9397-08002B2CF9AE}" pid="55" name="ZOTERO_BREF_4zZGELnXofAS7yfQ0HLQm_3">
    <vt:lpwstr>As) on trade flows. However, the gravity equation is subject to the same econometric critique as earlier cross-industry studies of U.S. tariff and nontariff barriers and U.S. multilateral imports: trade policy is not an exogenous variable. We address econ</vt:lpwstr>
  </property>
  <property fmtid="{D5CDD505-2E9C-101B-9397-08002B2CF9AE}" pid="56" name="ZOTERO_BREF_4zZGELnXofAS7yfQ0HLQm_4">
    <vt:lpwstr>ometrically the endogeneity of FTAs. Although instrumental-variable and control-function approaches do not adjust for endogeneity well, a panel approach does. Accounting econometrically for the FTA variable's endogeneity yields striking empirical results:</vt:lpwstr>
  </property>
  <property fmtid="{D5CDD505-2E9C-101B-9397-08002B2CF9AE}" pid="57" name="ZOTERO_BREF_4zZGELnXofAS7yfQ0HLQm_5">
    <vt:lpwstr> the effect of FTAs on trade flows is quintupled. We find that, on average, an FTA approximately doubles two members' bilateral trade after 10 years.","container-title":"Journal of International Economics","DOI":"10.1016/j.jinteco.2006.02.005","ISSN":"002</vt:lpwstr>
  </property>
  <property fmtid="{D5CDD505-2E9C-101B-9397-08002B2CF9AE}" pid="58" name="ZOTERO_BREF_4zZGELnXofAS7yfQ0HLQm_6">
    <vt:lpwstr>2-1996","issue":"1","journalAbbreviation":"Journal of International Economics","page":"72-95","source":"ScienceDirect","title":"Do free trade agreements actually increase members' international trade?","volume":"71","author":[{"family":"Baier","given":"Sc</vt:lpwstr>
  </property>
  <property fmtid="{D5CDD505-2E9C-101B-9397-08002B2CF9AE}" pid="59" name="ZOTERO_BREF_4zZGELnXofAS7yfQ0HLQm_7">
    <vt:lpwstr>ott L."},{"family":"Bergstrand","given":"Jeffrey H."}],"issued":{"date-parts":[["2007",3,8]]}}}],"schema":"https://github.com/citation-style-language/schema/raw/master/csl-citation.json"} </vt:lpwstr>
  </property>
  <property fmtid="{D5CDD505-2E9C-101B-9397-08002B2CF9AE}" pid="60" name="ZOTERO_BREF_pMoeQMmSUAHkJL39YLlkW_1">
    <vt:lpwstr>ZOTERO_ITEM CSL_CITATION {"citationID":"xeTyzcFJ","properties":{"formattedCitation":"(Dai, Yotov and Zylkin, 2014; Heid, Larch and Yotov, 2017)","plainCitation":"(Dai, Yotov and Zylkin, 2014; Heid, Larch and Yotov, 2017)","noteIndex":0},"citationItems":[{</vt:lpwstr>
  </property>
  <property fmtid="{D5CDD505-2E9C-101B-9397-08002B2CF9AE}" pid="61" name="ZOTERO_BREF_pMoeQMmSUAHkJL39YLlkW_2">
    <vt:lpwstr>"id":273,"uris":["http://zotero.org/users/13839746/items/MFIGNNC4"],"itemData":{"id":273,"type":"article-journal","abstract":"Trade-diversion effects of free trade agreements (FTAs) have not been thoroughly examined empirically. Using a novel empirical ap</vt:lpwstr>
  </property>
  <property fmtid="{D5CDD505-2E9C-101B-9397-08002B2CF9AE}" pid="62" name="ZOTERO_BREF_pMoeQMmSUAHkJL39YLlkW_3">
    <vt:lpwstr>proach, we confirm that FTAs divert trade away from non-member countries and even more so from internal trade (domestic sales) in member countries.","container-title":"Economics Letters","DOI":"10.1016/j.econlet.2013.12.024","ISSN":"0165-1765","issue":"2"</vt:lpwstr>
  </property>
  <property fmtid="{D5CDD505-2E9C-101B-9397-08002B2CF9AE}" pid="63" name="ZOTERO_BREF_pMoeQMmSUAHkJL39YLlkW_4">
    <vt:lpwstr>,"journalAbbreviation":"Economics Letters","page":"321-325","source":"ScienceDirect","title":"On the trade-diversion effects of free trade agreements","volume":"122","author":[{"family":"Dai","given":"Mian"},{"family":"Yotov","given":"Yoto V."},{"family":</vt:lpwstr>
  </property>
  <property fmtid="{D5CDD505-2E9C-101B-9397-08002B2CF9AE}" pid="64" name="ZOTERO_BREF_pMoeQMmSUAHkJL39YLlkW_5">
    <vt:lpwstr>"Zylkin","given":"Thomas"}],"issued":{"date-parts":[["2014",2,1]]}}},{"id":267,"uris":["http://zotero.org/users/13839746/items/WLEIJS7L"],"itemData":{"id":267,"type":"article","abstract":"We propose a simple method to identify the effects of unilateral an</vt:lpwstr>
  </property>
  <property fmtid="{D5CDD505-2E9C-101B-9397-08002B2CF9AE}" pid="65" name="ZOTERO_BREF_pMoeQMmSUAHkJL39YLlkW_6">
    <vt:lpwstr>d non-discriminatory trade policies on bilateral trade within a theoretically-consistent empirical gravity model. Specifically, we argue that structural gravity estimations should be performed with data that include not only international trade flows but </vt:lpwstr>
  </property>
  <property fmtid="{D5CDD505-2E9C-101B-9397-08002B2CF9AE}" pid="66" name="ZOTERO_BREF_pMoeQMmSUAHkJL39YLlkW_7">
    <vt:lpwstr>also intra-national trade flows. The use of intra-national sales allows identification of the effects of non-discriminatory trade policies on the importer side (e.g. most favored nation tariffs) and on the exporter side (e.g. export subsidies), even in th</vt:lpwstr>
  </property>
  <property fmtid="{D5CDD505-2E9C-101B-9397-08002B2CF9AE}" pid="67" name="ZOTERO_BREF_pMoeQMmSUAHkJL39YLlkW_8">
    <vt:lpwstr>e presence of exporter and importer fixed effects. An important byproduct of our approach is that it can be used to recover estimates of the export-supply elasticity and of the import-demand elasticity. We demonstrate the effectiveness of our techniques i</vt:lpwstr>
  </property>
  <property fmtid="{D5CDD505-2E9C-101B-9397-08002B2CF9AE}" pid="68" name="ZOTERO_BREF_pMoeQMmSUAHkJL39YLlkW_9">
    <vt:lpwstr>n the case of MFN tariffs and \"Time to Export\" as representative determinants of trade on the importer and on the exporter side, respectively. Our methods can be extended to quantify the impact on trade of any country-specific characteristics as well as</vt:lpwstr>
  </property>
  <property fmtid="{D5CDD505-2E9C-101B-9397-08002B2CF9AE}" pid="69" name="ZOTERO_BREF_pMoeQMmSUAHkJL39YLlkW_10">
    <vt:lpwstr> any non-trade policies.","DOI":"10.2139/ssrn.3100014","event-place":"Rochester, NY","genre":"SSRN Scholarly Paper","language":"en","number":"3100014","publisher-place":"Rochester, NY","source":"Social Science Research Network","title":"Estimating the Eff</vt:lpwstr>
  </property>
  <property fmtid="{D5CDD505-2E9C-101B-9397-08002B2CF9AE}" pid="70" name="ZOTERO_BREF_pMoeQMmSUAHkJL39YLlkW_11">
    <vt:lpwstr>ects of Non-Discriminatory Trade Policies within Structural Gravity Models","URL":"https://papers.ssrn.com/abstract=3100014","author":[{"family":"Heid","given":"Benedikt"},{"family":"Larch","given":"Mario"},{"family":"Yotov","given":"Yoto V."}],"accessed"</vt:lpwstr>
  </property>
  <property fmtid="{D5CDD505-2E9C-101B-9397-08002B2CF9AE}" pid="71" name="ZOTERO_BREF_pMoeQMmSUAHkJL39YLlkW_12">
    <vt:lpwstr>:{"date-parts":[["2024",8,7]]},"issued":{"date-parts":[["2017",11,16]]}}}],"schema":"https://github.com/citation-style-language/schema/raw/master/csl-citation.json"} </vt:lpwstr>
  </property>
  <property fmtid="{D5CDD505-2E9C-101B-9397-08002B2CF9AE}" pid="72" name="ZOTERO_BREF_G5VJuk6T8wweLaiuquFHU_1">
    <vt:lpwstr>ZOTERO_ITEM CSL_CITATION {"citationID":"XkWzhbrT","properties":{"formattedCitation":"(Baier and Bergstrand, 2007; Anderson and Yotov, 2016)","plainCitation":"(Baier and Bergstrand, 2007; Anderson and Yotov, 2016)","noteIndex":0},"citationItems":[{"id":232</vt:lpwstr>
  </property>
  <property fmtid="{D5CDD505-2E9C-101B-9397-08002B2CF9AE}" pid="73" name="ZOTERO_BREF_G5VJuk6T8wweLaiuquFHU_2">
    <vt:lpwstr>,"uris":["http://zotero.org/users/13839746/items/BL77KKLZ"],"itemData":{"id":232,"type":"article-journal","abstract":"For over 40 years, the gravity equation has been a workhorse for cross-country empirical analyses of international trade flows and — in p</vt:lpwstr>
  </property>
  <property fmtid="{D5CDD505-2E9C-101B-9397-08002B2CF9AE}" pid="74" name="ZOTERO_BREF_G5VJuk6T8wweLaiuquFHU_3">
    <vt:lpwstr>articular — the effects of free trade agreements (FTAs) on trade flows. However, the gravity equation is subject to the same econometric critique as earlier cross-industry studies of U.S. tariff and nontariff barriers and U.S. multilateral imports: trade </vt:lpwstr>
  </property>
  <property fmtid="{D5CDD505-2E9C-101B-9397-08002B2CF9AE}" pid="75" name="ZOTERO_BREF_G5VJuk6T8wweLaiuquFHU_4">
    <vt:lpwstr>policy is not an exogenous variable. We address econometrically the endogeneity of FTAs. Although instrumental-variable and control-function approaches do not adjust for endogeneity well, a panel approach does. Accounting econometrically for the FTA varia</vt:lpwstr>
  </property>
  <property fmtid="{D5CDD505-2E9C-101B-9397-08002B2CF9AE}" pid="76" name="ZOTERO_BREF_G5VJuk6T8wweLaiuquFHU_5">
    <vt:lpwstr>ble's endogeneity yields striking empirical results: the effect of FTAs on trade flows is quintupled. We find that, on average, an FTA approximately doubles two members' bilateral trade after 10 years.","container-title":"Journal of International Economic</vt:lpwstr>
  </property>
  <property fmtid="{D5CDD505-2E9C-101B-9397-08002B2CF9AE}" pid="77" name="ZOTERO_BREF_G5VJuk6T8wweLaiuquFHU_6">
    <vt:lpwstr>s","DOI":"10.1016/j.jinteco.2006.02.005","ISSN":"0022-1996","issue":"1","journalAbbreviation":"Journal of International Economics","page":"72-95","source":"ScienceDirect","title":"Do free trade agreements actually increase members' international trade?","</vt:lpwstr>
  </property>
  <property fmtid="{D5CDD505-2E9C-101B-9397-08002B2CF9AE}" pid="78" name="ZOTERO_BREF_G5VJuk6T8wweLaiuquFHU_7">
    <vt:lpwstr>volume":"71","author":[{"family":"Baier","given":"Scott L."},{"family":"Bergstrand","given":"Jeffrey H."}],"issued":{"date-parts":[["2007",3,8]]}}},{"id":258,"uris":["http://zotero.org/users/13839746/items/ILZLPQ7V"],"itemData":{"id":258,"type":"article-j</vt:lpwstr>
  </property>
  <property fmtid="{D5CDD505-2E9C-101B-9397-08002B2CF9AE}" pid="79" name="ZOTERO_BREF_G5VJuk6T8wweLaiuquFHU_8">
    <vt:lpwstr>ournal","abstract":"This paper infers the terms of trade effects of free trade agreements (FTAs) implemented in the 1990s. We estimate large FTA effects on bilateral trade volume in 2 digit manufacturing goods from 1990–2002, using panel data gravity meth</vt:lpwstr>
  </property>
  <property fmtid="{D5CDD505-2E9C-101B-9397-08002B2CF9AE}" pid="80" name="ZOTERO_BREF_G5VJuk6T8wweLaiuquFHU_9">
    <vt:lpwstr>ods to resolve two way causality. The terms of trade changes implied by these volume effects are deduced for 40 countries plus a rest-of-the-world aggregate using an endowments general equilibrium model. Some countries gain over 5% of real manufacturing i</vt:lpwstr>
  </property>
  <property fmtid="{D5CDD505-2E9C-101B-9397-08002B2CF9AE}" pid="81" name="ZOTERO_BREF_G5VJuk6T8wweLaiuquFHU_10">
    <vt:lpwstr>ncome, some lose less than 0.3%. Global efficiency of manufactures trade rises 0.9% based on a distance function measure of iceberg melting.","container-title":"Journal of International Economics","DOI":"10.1016/j.jinteco.2015.10.006","ISSN":"0022-1996","</vt:lpwstr>
  </property>
  <property fmtid="{D5CDD505-2E9C-101B-9397-08002B2CF9AE}" pid="82" name="ZOTERO_BREF_G5VJuk6T8wweLaiuquFHU_11">
    <vt:lpwstr>journalAbbreviation":"Journal of International Economics","page":"279-298","source":"ScienceDirect","title":"Terms of trade and global efficiency effects of free trade agreements, 1990–2002","volume":"99","author":[{"family":"Anderson","given":"James E."}</vt:lpwstr>
  </property>
  <property fmtid="{D5CDD505-2E9C-101B-9397-08002B2CF9AE}" pid="83" name="ZOTERO_BREF_G5VJuk6T8wweLaiuquFHU_12">
    <vt:lpwstr>,{"family":"Yotov","given":"Yoto V."}],"issued":{"date-parts":[["2016",3,1]]}}}],"schema":"https://github.com/citation-style-language/schema/raw/master/csl-citation.json"} </vt:lpwstr>
  </property>
  <property fmtid="{D5CDD505-2E9C-101B-9397-08002B2CF9AE}" pid="84" name="ZOTERO_BREF_dRWokNPaLONDLWw4cdqlZ_1">
    <vt:lpwstr>ZOTERO_ITEM CSL_CITATION {"citationID":"qzQ1XlV6","properties":{"formattedCitation":"(Yotov, 2012; Bergstrand, Larch and Yotov, 2015)","plainCitation":"(Yotov, 2012; Bergstrand, Larch and Yotov, 2015)","noteIndex":0},"citationItems":[{"id":271,"uris":["ht</vt:lpwstr>
  </property>
  <property fmtid="{D5CDD505-2E9C-101B-9397-08002B2CF9AE}" pid="85" name="ZOTERO_BREF_dRWokNPaLONDLWw4cdqlZ_2">
    <vt:lpwstr>tp://zotero.org/users/13839746/items/UY58CB3M"],"itemData":{"id":271,"type":"article-journal","abstract":"I propose a simple solution to the distance puzzle in international trade. Contrary to existing estimates of persistent or increasing distance effect</vt:lpwstr>
  </property>
  <property fmtid="{D5CDD505-2E9C-101B-9397-08002B2CF9AE}" pid="86" name="ZOTERO_BREF_dRWokNPaLONDLWw4cdqlZ_3">
    <vt:lpwstr>s on trade, I offer robust evidence that the impact of distance on trade has fallen steadily over time.","container-title":"Economics Letters","DOI":"10.1016/j.econlet.2012.08.032","ISSN":"0165-1765","issue":"3","journalAbbreviation":"Economics Letters","</vt:lpwstr>
  </property>
  <property fmtid="{D5CDD505-2E9C-101B-9397-08002B2CF9AE}" pid="87" name="ZOTERO_BREF_dRWokNPaLONDLWw4cdqlZ_4">
    <vt:lpwstr>page":"794-798","source":"ScienceDirect","title":"A simple solution to the distance puzzle in international trade","volume":"117","author":[{"family":"Yotov","given":"Yoto V."}],"issued":{"date-parts":[["2012",12,1]]}}},{"id":238,"uris":["http://zotero.or</vt:lpwstr>
  </property>
  <property fmtid="{D5CDD505-2E9C-101B-9397-08002B2CF9AE}" pid="88" name="ZOTERO_BREF_dRWokNPaLONDLWw4cdqlZ_5">
    <vt:lpwstr>g/users/13839746/items/VF28CZJB"],"itemData":{"id":238,"type":"article-journal","abstract":"Using a novel common econometric specification, we examine the measurement of three important effects in international trade that historically have been addressed </vt:lpwstr>
  </property>
  <property fmtid="{D5CDD505-2E9C-101B-9397-08002B2CF9AE}" pid="89" name="ZOTERO_BREF_dRWokNPaLONDLWw4cdqlZ_6">
    <vt:lpwstr>largely separately: the (partial) effects on trade of economic integration agreements, international borders, and bilateral distance. First, recent studies focusing on precise and unbiased estimates of effects of economic integration agreements (EIAs) on </vt:lpwstr>
  </property>
  <property fmtid="{D5CDD505-2E9C-101B-9397-08002B2CF9AE}" pid="90" name="ZOTERO_BREF_dRWokNPaLONDLWw4cdqlZ_7">
    <vt:lpwstr>members׳ trade may be biased upward owing to inadequate control for time-varying exogenous unobservable country-pair-specific changes in bilateral export costs (possibly decreasing the costs of international relative to intranational trade); we find evide</vt:lpwstr>
  </property>
  <property fmtid="{D5CDD505-2E9C-101B-9397-08002B2CF9AE}" pid="91" name="ZOTERO_BREF_dRWokNPaLONDLWw4cdqlZ_8">
    <vt:lpwstr>nce of this bias using a properly specified gravity equation. Second, our novel methodology yields statistically significant estimates of the declining effect of “international borders” on world trade, now accounting for endogenous EIA formations and unob</vt:lpwstr>
  </property>
  <property fmtid="{D5CDD505-2E9C-101B-9397-08002B2CF9AE}" pid="92" name="ZOTERO_BREF_dRWokNPaLONDLWw4cdqlZ_9">
    <vt:lpwstr>served country-pair heterogeneity in initial levels. Third, we confirm recent evidence providing a solution to the “distance-elasticity puzzle,” but show that these estimates of the declining effect of distance on international trade are biased upward by </vt:lpwstr>
  </property>
  <property fmtid="{D5CDD505-2E9C-101B-9397-08002B2CF9AE}" pid="93" name="ZOTERO_BREF_dRWokNPaLONDLWw4cdqlZ_10">
    <vt:lpwstr>not accounting for endogenous EIA formations and unobserved country-pair heterogeneity. We conclude our study with numerical general equilibrium comparative statics illustrating a substantive difference on trade effects of EIAs with and without allowance </vt:lpwstr>
  </property>
  <property fmtid="{D5CDD505-2E9C-101B-9397-08002B2CF9AE}" pid="94" name="ZOTERO_BREF_dRWokNPaLONDLWw4cdqlZ_11">
    <vt:lpwstr>for the declining effects of international borders on world trade.","container-title":"European Economic Review","DOI":"10.1016/j.euroecorev.2015.06.003","ISSN":"0014-2921","journalAbbreviation":"European Economic Review","page":"307-327","source":"Scienc</vt:lpwstr>
  </property>
  <property fmtid="{D5CDD505-2E9C-101B-9397-08002B2CF9AE}" pid="95" name="ZOTERO_BREF_dRWokNPaLONDLWw4cdqlZ_12">
    <vt:lpwstr>eDirect","title":"Economic integration agreements, border effects, and distance elasticities in the gravity equation","volume":"78","author":[{"family":"Bergstrand","given":"Jeffrey H."},{"family":"Larch","given":"Mario"},{"family":"Yotov","given":"Yoto V</vt:lpwstr>
  </property>
  <property fmtid="{D5CDD505-2E9C-101B-9397-08002B2CF9AE}" pid="96" name="ZOTERO_BREF_dRWokNPaLONDLWw4cdqlZ_13">
    <vt:lpwstr>."}],"issued":{"date-parts":[["2015",8,1]]}}}],"schema":"https://github.com/citation-style-language/schema/raw/master/csl-citation.json"} </vt:lpwstr>
  </property>
  <property fmtid="{D5CDD505-2E9C-101B-9397-08002B2CF9AE}" pid="97" name="ZOTERO_BREF_piQr9w052em1l3SZKul7V_1">
    <vt:lpwstr>ZOTERO_ITEM CSL_CITATION {"citationID":"NKvlWia8","properties":{"formattedCitation":"(Baier, Yotov and Zylkin, 2019)","plainCitation":"(Baier, Yotov and Zylkin, 2019)","noteIndex":0},"citationItems":[{"id":255,"uris":["http://zotero.org/users/13839746/ite</vt:lpwstr>
  </property>
  <property fmtid="{D5CDD505-2E9C-101B-9397-08002B2CF9AE}" pid="98" name="ZOTERO_BREF_piQr9w052em1l3SZKul7V_2">
    <vt:lpwstr>ms/V876EF3T"],"itemData":{"id":255,"type":"article-journal","abstract":"We develop a novel two stage methodology that allows us to study the empirical determinants of the ex post effects of past free trade agreements (FTAs) as well as obtain ex ante predi</vt:lpwstr>
  </property>
  <property fmtid="{D5CDD505-2E9C-101B-9397-08002B2CF9AE}" pid="99" name="ZOTERO_BREF_piQr9w052em1l3SZKul7V_3">
    <vt:lpwstr>ctions for the effects of future FTAs. We first identify 908 unique estimates of the effects of FTAs on different trading pairs for the years 1986–2006. We then employ these estimates as our dependent variable in a “second stage” analysis characterizing t</vt:lpwstr>
  </property>
  <property fmtid="{D5CDD505-2E9C-101B-9397-08002B2CF9AE}" pid="100" name="ZOTERO_BREF_piQr9w052em1l3SZKul7V_4">
    <vt:lpwstr>he heterogeneity in these effects. Interestingly, most of this heterogeneity (∼2/3) occurs within FTAs (rather than across different FTAs), with asymmetric effects within pairs (on exports vs. imports) also playing an important role. Our second stage anal</vt:lpwstr>
  </property>
  <property fmtid="{D5CDD505-2E9C-101B-9397-08002B2CF9AE}" pid="101" name="ZOTERO_BREF_piQr9w052em1l3SZKul7V_5">
    <vt:lpwstr>ysis provides several intuitive explanations behind these variations. Even within the same agreement, FTA effects are weaker for more distant pairs and for pairs with otherwise high levels of ex ante trade frictions. The effects of new FTAs are similarly </vt:lpwstr>
  </property>
  <property fmtid="{D5CDD505-2E9C-101B-9397-08002B2CF9AE}" pid="102" name="ZOTERO_BREF_piQr9w052em1l3SZKul7V_6">
    <vt:lpwstr>weaker for pairs with existing agreements already in place. In addition, we are able to relate asymmetries in FTA effects to each country's ability to influence the other's terms of trade. Out-of-sample predictions incorporating these insights enable us t</vt:lpwstr>
  </property>
  <property fmtid="{D5CDD505-2E9C-101B-9397-08002B2CF9AE}" pid="103" name="ZOTERO_BREF_piQr9w052em1l3SZKul7V_7">
    <vt:lpwstr>o predict direction-specific effects of future FTAs between any pair of countries. A simulation of the general equilibrium effects of TTIP demonstrates the significance of our methods.","container-title":"Journal of International Economics","DOI":"10.1016</vt:lpwstr>
  </property>
  <property fmtid="{D5CDD505-2E9C-101B-9397-08002B2CF9AE}" pid="104" name="ZOTERO_BREF_piQr9w052em1l3SZKul7V_8">
    <vt:lpwstr>/j.jinteco.2018.11.002","ISSN":"0022-1996","journalAbbreviation":"Journal of International Economics","page":"206-226","source":"ScienceDirect","title":"On the widely differing effects of free trade agreements: Lessons from twenty years of trade integrati</vt:lpwstr>
  </property>
  <property fmtid="{D5CDD505-2E9C-101B-9397-08002B2CF9AE}" pid="105" name="ZOTERO_BREF_piQr9w052em1l3SZKul7V_9">
    <vt:lpwstr>on","title-short":"On the widely differing effects of free trade agreements","volume":"116","author":[{"family":"Baier","given":"Scott L."},{"family":"Yotov","given":"Yoto V."},{"family":"Zylkin","given":"Thomas"}],"issued":{"date-parts":[["2019",1,1]]}}}</vt:lpwstr>
  </property>
  <property fmtid="{D5CDD505-2E9C-101B-9397-08002B2CF9AE}" pid="106" name="ZOTERO_BREF_piQr9w052em1l3SZKul7V_10">
    <vt:lpwstr>],"schema":"https://github.com/citation-style-language/schema/raw/master/csl-citation.json"} </vt:lpwstr>
  </property>
  <property fmtid="{D5CDD505-2E9C-101B-9397-08002B2CF9AE}" pid="107" name="ZOTERO_BREF_KZnZNJOYI9YwOp3OUr1q3_1">
    <vt:lpwstr>ZOTERO_BIBL {"uncited":[],"omitted":[],"custom":[]} CSL_BIBLIOGRAPHY </vt:lpwstr>
  </property>
  <property fmtid="{D5CDD505-2E9C-101B-9397-08002B2CF9AE}" pid="108" name="ZOTERO_BREF_1LuG2Jcioy8q2mP54dgT0_1">
    <vt:lpwstr>ZOTERO_TEMP </vt:lpwstr>
  </property>
</Properties>
</file>