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BFF7C" w14:textId="1F2CD8AA" w:rsidR="00CF33D8" w:rsidRPr="009A03EE" w:rsidRDefault="00484B47" w:rsidP="004650A6">
      <w:pPr>
        <w:spacing w:line="360" w:lineRule="auto"/>
        <w:jc w:val="both"/>
        <w:rPr>
          <w:lang w:val="en-GB"/>
        </w:rPr>
      </w:pPr>
      <w:r w:rsidRPr="009A03EE">
        <w:rPr>
          <w:lang w:val="en-GB"/>
        </w:rPr>
        <w:t xml:space="preserve">Often referred as the “workhorse” of international trade, the gravity model </w:t>
      </w:r>
      <w:r w:rsidR="00AC7D93" w:rsidRPr="009A03EE">
        <w:rPr>
          <w:lang w:val="en-GB"/>
        </w:rPr>
        <w:t>is prominent in the empirical literature of applied international trade analysis.</w:t>
      </w:r>
      <w:r w:rsidR="00640EC1" w:rsidRPr="009A03EE">
        <w:rPr>
          <w:lang w:val="en-GB"/>
        </w:rPr>
        <w:t xml:space="preserve"> Among the arguments that could support the use of the gravity model, there are four that are particularly relevant for our purposes. First, the gravity model of trade is intuitive to understand</w:t>
      </w:r>
      <w:r w:rsidR="000A22CD" w:rsidRPr="009A03EE">
        <w:rPr>
          <w:lang w:val="en-GB"/>
        </w:rPr>
        <w:t>. Following the metaphor of Newton’s Law of Universal Gravitation, it predicts that international trade between two countries is directly proportional to the product of their economic size, and inversely proportional to trade frictions between them.</w:t>
      </w:r>
      <w:r w:rsidR="007613E4" w:rsidRPr="009A03EE">
        <w:rPr>
          <w:lang w:val="en-GB"/>
        </w:rPr>
        <w:t xml:space="preserve"> In simpler words, the bigger </w:t>
      </w:r>
      <w:r w:rsidR="002A56A4" w:rsidRPr="009A03EE">
        <w:rPr>
          <w:lang w:val="en-GB"/>
        </w:rPr>
        <w:t xml:space="preserve">(smaller) </w:t>
      </w:r>
      <w:r w:rsidR="007613E4" w:rsidRPr="009A03EE">
        <w:rPr>
          <w:lang w:val="en-GB"/>
        </w:rPr>
        <w:t xml:space="preserve">the economies of two countries, and the easier </w:t>
      </w:r>
      <w:r w:rsidR="002A56A4" w:rsidRPr="009A03EE">
        <w:rPr>
          <w:lang w:val="en-GB"/>
        </w:rPr>
        <w:t xml:space="preserve">(harder) </w:t>
      </w:r>
      <w:r w:rsidR="007613E4" w:rsidRPr="009A03EE">
        <w:rPr>
          <w:lang w:val="en-GB"/>
        </w:rPr>
        <w:t>it is for them to trade</w:t>
      </w:r>
      <w:r w:rsidR="000A22CD" w:rsidRPr="009A03EE">
        <w:rPr>
          <w:lang w:val="en-GB"/>
        </w:rPr>
        <w:t xml:space="preserve"> </w:t>
      </w:r>
      <w:r w:rsidR="007613E4" w:rsidRPr="009A03EE">
        <w:rPr>
          <w:lang w:val="en-GB"/>
        </w:rPr>
        <w:t>with each other, the more</w:t>
      </w:r>
      <w:r w:rsidR="002A56A4" w:rsidRPr="009A03EE">
        <w:rPr>
          <w:lang w:val="en-GB"/>
        </w:rPr>
        <w:t xml:space="preserve"> (less)</w:t>
      </w:r>
      <w:r w:rsidR="007613E4" w:rsidRPr="009A03EE">
        <w:rPr>
          <w:lang w:val="en-GB"/>
        </w:rPr>
        <w:t xml:space="preserve"> we expect them to trade.</w:t>
      </w:r>
      <w:r w:rsidR="00786687" w:rsidRPr="009A03EE">
        <w:rPr>
          <w:lang w:val="en-GB"/>
        </w:rPr>
        <w:t xml:space="preserve"> Second, it is referred to as a structural model with solid theoretical foundations, which </w:t>
      </w:r>
      <w:r w:rsidR="008E0DB6" w:rsidRPr="009A03EE">
        <w:rPr>
          <w:lang w:val="en-GB"/>
        </w:rPr>
        <w:t xml:space="preserve">makes it appropriate for counterfactual analysis, such as </w:t>
      </w:r>
      <w:r w:rsidR="00EC24B6" w:rsidRPr="009A03EE">
        <w:rPr>
          <w:lang w:val="en-GB"/>
        </w:rPr>
        <w:t>measuring the effects of trade policies as we aim to do with the effects of North</w:t>
      </w:r>
      <w:r w:rsidR="00B2374D" w:rsidRPr="009A03EE">
        <w:rPr>
          <w:lang w:val="en-GB"/>
        </w:rPr>
        <w:t>-South</w:t>
      </w:r>
      <w:r w:rsidR="00EC24B6" w:rsidRPr="009A03EE">
        <w:rPr>
          <w:lang w:val="en-GB"/>
        </w:rPr>
        <w:t xml:space="preserve"> versus South-South agreements. </w:t>
      </w:r>
      <w:r w:rsidR="00500EC1" w:rsidRPr="009A03EE">
        <w:rPr>
          <w:lang w:val="en-GB"/>
        </w:rPr>
        <w:t xml:space="preserve">Third, model </w:t>
      </w:r>
      <w:r w:rsidR="003008B9" w:rsidRPr="009A03EE">
        <w:rPr>
          <w:lang w:val="en-GB"/>
        </w:rPr>
        <w:t xml:space="preserve">has a flexible structure, which will allow us to </w:t>
      </w:r>
      <w:r w:rsidR="0051576E" w:rsidRPr="009A03EE">
        <w:rPr>
          <w:lang w:val="en-GB"/>
        </w:rPr>
        <w:t xml:space="preserve">construct </w:t>
      </w:r>
      <w:r w:rsidR="006831F3" w:rsidRPr="009A03EE">
        <w:rPr>
          <w:lang w:val="en-GB"/>
        </w:rPr>
        <w:t xml:space="preserve">a specification tailored to our research. Finally, fourth, </w:t>
      </w:r>
      <w:r w:rsidR="002B77F1" w:rsidRPr="009A03EE">
        <w:rPr>
          <w:lang w:val="en-GB"/>
        </w:rPr>
        <w:t xml:space="preserve">it </w:t>
      </w:r>
      <w:r w:rsidR="00183F9F" w:rsidRPr="009A03EE">
        <w:rPr>
          <w:lang w:val="en-GB"/>
        </w:rPr>
        <w:t xml:space="preserve">holds </w:t>
      </w:r>
      <w:r w:rsidR="00CB0677" w:rsidRPr="009A03EE">
        <w:rPr>
          <w:lang w:val="en-GB"/>
        </w:rPr>
        <w:t>consistent</w:t>
      </w:r>
      <w:r w:rsidR="00F076D0" w:rsidRPr="009A03EE">
        <w:rPr>
          <w:lang w:val="en-GB"/>
        </w:rPr>
        <w:t xml:space="preserve"> and remarkable</w:t>
      </w:r>
      <w:r w:rsidR="00183F9F" w:rsidRPr="009A03EE">
        <w:rPr>
          <w:lang w:val="en-GB"/>
        </w:rPr>
        <w:t xml:space="preserve"> predictive power, </w:t>
      </w:r>
      <w:r w:rsidR="00186159" w:rsidRPr="009A03EE">
        <w:rPr>
          <w:lang w:val="en-GB"/>
        </w:rPr>
        <w:t xml:space="preserve">both with </w:t>
      </w:r>
      <w:r w:rsidR="00D47AEA" w:rsidRPr="009A03EE">
        <w:rPr>
          <w:lang w:val="en-GB"/>
        </w:rPr>
        <w:t>aggregate and sectoral data</w:t>
      </w:r>
      <w:r w:rsidR="00AC7D93" w:rsidRPr="009A03EE">
        <w:rPr>
          <w:lang w:val="en-GB"/>
        </w:rPr>
        <w:t xml:space="preserve"> </w:t>
      </w:r>
      <w:r w:rsidR="00DF455C" w:rsidRPr="009A03EE">
        <w:rPr>
          <w:lang w:val="en-GB"/>
        </w:rPr>
        <w:fldChar w:fldCharType="begin"/>
      </w:r>
      <w:r w:rsidR="00DF455C" w:rsidRPr="009A03EE">
        <w:rPr>
          <w:lang w:val="en-GB"/>
        </w:rPr>
        <w:instrText xml:space="preserve"> ADDIN ZOTERO_ITEM CSL_CITATION {"citationID":"YkcYNjeZ","properties":{"formattedCitation":"(Yotov et al. 2016)","plainCitation":"(Yotov et al. 2016)","noteIndex":0},"citationItems":[{"id":194,"uris":["http://zotero.org/users/13839746/items/TR9BRTSS"],"itemData":{"id":194,"type":"book","ISBN":"978-92-870-4368-9","language":"en","note":"DOI: 10.30875/abc0167e-en","publisher":"WTO","source":"DOI.org (Crossref)","title":"An Advanced Guide to Trade Policy Analysis​: The Structural Gravity Model","title-short":"An Advanced Guide to Trade Policy Analysis​","URL":"https://www.wto-ilibrary.org/content/books/9789287043689","author":[{"family":"Yotov","given":"Yoto V."},{"family":"Piermartini","given":"Roberta"},{"family":"Monteiro","given":"José-Antonio"},{"family":"Larch","given":"Mario"}],"accessed":{"date-parts":[["2024",7,24]]},"issued":{"date-parts":[["2016",11,15]]}}}],"schema":"https://github.com/citation-style-language/schema/raw/master/csl-citation.json"} </w:instrText>
      </w:r>
      <w:r w:rsidR="00DF455C" w:rsidRPr="009A03EE">
        <w:rPr>
          <w:lang w:val="en-GB"/>
        </w:rPr>
        <w:fldChar w:fldCharType="separate"/>
      </w:r>
      <w:r w:rsidR="00595013" w:rsidRPr="009A03EE">
        <w:rPr>
          <w:lang w:val="en-GB"/>
        </w:rPr>
        <w:t>(</w:t>
      </w:r>
      <w:proofErr w:type="spellStart"/>
      <w:r w:rsidR="00595013" w:rsidRPr="009A03EE">
        <w:rPr>
          <w:lang w:val="en-GB"/>
        </w:rPr>
        <w:t>Yotov</w:t>
      </w:r>
      <w:proofErr w:type="spellEnd"/>
      <w:r w:rsidR="00595013" w:rsidRPr="009A03EE">
        <w:rPr>
          <w:lang w:val="en-GB"/>
        </w:rPr>
        <w:t xml:space="preserve"> et al. 2016)</w:t>
      </w:r>
      <w:r w:rsidR="00DF455C" w:rsidRPr="009A03EE">
        <w:rPr>
          <w:lang w:val="en-GB"/>
        </w:rPr>
        <w:fldChar w:fldCharType="end"/>
      </w:r>
      <w:r w:rsidR="00D47AEA" w:rsidRPr="009A03EE">
        <w:rPr>
          <w:lang w:val="en-GB"/>
        </w:rPr>
        <w:t>.</w:t>
      </w:r>
    </w:p>
    <w:p w14:paraId="5436923F" w14:textId="67C742AA" w:rsidR="00C01CB4" w:rsidRPr="009A03EE" w:rsidRDefault="00B07293" w:rsidP="004650A6">
      <w:pPr>
        <w:spacing w:line="360" w:lineRule="auto"/>
        <w:jc w:val="both"/>
        <w:rPr>
          <w:lang w:val="en-GB"/>
        </w:rPr>
      </w:pPr>
      <w:r w:rsidRPr="009A03EE">
        <w:rPr>
          <w:lang w:val="en-GB"/>
        </w:rPr>
        <w:t xml:space="preserve">Through the decades, the gravity equation has </w:t>
      </w:r>
      <w:r w:rsidR="00016401" w:rsidRPr="009A03EE">
        <w:rPr>
          <w:lang w:val="en-GB"/>
        </w:rPr>
        <w:t xml:space="preserve">been regularly upgraded in the </w:t>
      </w:r>
      <w:r w:rsidR="00B718FF" w:rsidRPr="009A03EE">
        <w:rPr>
          <w:lang w:val="en-GB"/>
        </w:rPr>
        <w:t xml:space="preserve">theoretical and </w:t>
      </w:r>
      <w:r w:rsidR="00016401" w:rsidRPr="009A03EE">
        <w:rPr>
          <w:lang w:val="en-GB"/>
        </w:rPr>
        <w:t>empirical literature</w:t>
      </w:r>
      <w:r w:rsidR="00B718FF" w:rsidRPr="009A03EE">
        <w:rPr>
          <w:lang w:val="en-GB"/>
        </w:rPr>
        <w:t xml:space="preserve">. </w:t>
      </w:r>
      <w:r w:rsidR="00D03ED3" w:rsidRPr="009A03EE">
        <w:rPr>
          <w:lang w:val="en-GB"/>
        </w:rPr>
        <w:t>Of relevance</w:t>
      </w:r>
      <w:r w:rsidR="00E02B18" w:rsidRPr="009A03EE">
        <w:rPr>
          <w:lang w:val="en-GB"/>
        </w:rPr>
        <w:t>, t</w:t>
      </w:r>
      <w:r w:rsidR="00B718FF" w:rsidRPr="009A03EE">
        <w:rPr>
          <w:lang w:val="en-GB"/>
        </w:rPr>
        <w:t xml:space="preserve">he simple intuition of the gravity model </w:t>
      </w:r>
      <w:r w:rsidR="00B1431E" w:rsidRPr="009A03EE">
        <w:rPr>
          <w:lang w:val="en-GB"/>
        </w:rPr>
        <w:t>was</w:t>
      </w:r>
      <w:r w:rsidR="00B718FF" w:rsidRPr="009A03EE">
        <w:rPr>
          <w:lang w:val="en-GB"/>
        </w:rPr>
        <w:t xml:space="preserve"> theoretically extended by Anderson to note that, after controlling for size, the increase or decrease is </w:t>
      </w:r>
      <w:r w:rsidR="00B718FF" w:rsidRPr="009A03EE">
        <w:rPr>
          <w:i/>
          <w:iCs/>
          <w:lang w:val="en-GB"/>
        </w:rPr>
        <w:t>relative</w:t>
      </w:r>
      <w:r w:rsidR="00B718FF" w:rsidRPr="009A03EE">
        <w:rPr>
          <w:lang w:val="en-GB"/>
        </w:rPr>
        <w:t xml:space="preserve"> to the average barriers of the two countries with all their partners, which </w:t>
      </w:r>
      <w:r w:rsidR="009272E6" w:rsidRPr="009A03EE">
        <w:rPr>
          <w:lang w:val="en-GB"/>
        </w:rPr>
        <w:t>are</w:t>
      </w:r>
      <w:r w:rsidR="00B718FF" w:rsidRPr="009A03EE">
        <w:rPr>
          <w:lang w:val="en-GB"/>
        </w:rPr>
        <w:t xml:space="preserve"> referred as “multilateral resistance” </w:t>
      </w:r>
      <w:r w:rsidR="00DF455C" w:rsidRPr="009A03EE">
        <w:rPr>
          <w:lang w:val="en-GB"/>
        </w:rPr>
        <w:fldChar w:fldCharType="begin"/>
      </w:r>
      <w:r w:rsidR="00DF455C" w:rsidRPr="009A03EE">
        <w:rPr>
          <w:lang w:val="en-GB"/>
        </w:rPr>
        <w:instrText xml:space="preserve"> ADDIN ZOTERO_ITEM CSL_CITATION {"citationID":"698OdPsZ","properties":{"formattedCitation":"(Anderson 1979)","plainCitation":"(Anderson 1979)","noteIndex":0},"citationItems":[{"id":251,"uris":["http://zotero.org/users/13839746/items/8RNPUHAC"],"itemData":{"id":251,"type":"article-journal","container-title":"The American Economic Review","ISSN":"0002-8282","issue":"1","note":"publisher: American Economic Association","page":"106-116","source":"JSTOR","title":"A Theoretical Foundation for the Gravity Equation","volume":"69","author":[{"family":"Anderson","given":"James E."}],"issued":{"date-parts":[["1979"]]}}}],"schema":"https://github.com/citation-style-language/schema/raw/master/csl-citation.json"} </w:instrText>
      </w:r>
      <w:r w:rsidR="00DF455C" w:rsidRPr="009A03EE">
        <w:rPr>
          <w:lang w:val="en-GB"/>
        </w:rPr>
        <w:fldChar w:fldCharType="separate"/>
      </w:r>
      <w:r w:rsidR="00595013" w:rsidRPr="009A03EE">
        <w:rPr>
          <w:noProof/>
          <w:lang w:val="en-GB"/>
        </w:rPr>
        <w:t>(Anderson 1979)</w:t>
      </w:r>
      <w:r w:rsidR="00DF455C" w:rsidRPr="009A03EE">
        <w:rPr>
          <w:lang w:val="en-GB"/>
        </w:rPr>
        <w:fldChar w:fldCharType="end"/>
      </w:r>
      <w:r w:rsidR="00B718FF" w:rsidRPr="009A03EE">
        <w:rPr>
          <w:lang w:val="en-GB"/>
        </w:rPr>
        <w:t>.</w:t>
      </w:r>
      <w:r w:rsidR="006769FC" w:rsidRPr="009A03EE">
        <w:rPr>
          <w:lang w:val="en-GB"/>
        </w:rPr>
        <w:t xml:space="preserve"> The more trade barriers or resistance to trade exists with other countries relative to a given partner, the more a country is pushed to trade with said partner.</w:t>
      </w:r>
      <w:r w:rsidR="00E57218" w:rsidRPr="009A03EE">
        <w:rPr>
          <w:lang w:val="en-GB"/>
        </w:rPr>
        <w:t xml:space="preserve"> Anderson also introduced the assumptions </w:t>
      </w:r>
      <w:r w:rsidR="00D03ED3" w:rsidRPr="009A03EE">
        <w:rPr>
          <w:lang w:val="en-GB"/>
        </w:rPr>
        <w:t xml:space="preserve">of </w:t>
      </w:r>
      <w:r w:rsidR="00E57218" w:rsidRPr="009A03EE">
        <w:rPr>
          <w:lang w:val="en-GB"/>
        </w:rPr>
        <w:t>product differentiation by place of origin</w:t>
      </w:r>
      <w:r w:rsidR="00D03ED3" w:rsidRPr="009A03EE">
        <w:rPr>
          <w:lang w:val="en-GB"/>
        </w:rPr>
        <w:t>,</w:t>
      </w:r>
      <w:r w:rsidR="00E57218" w:rsidRPr="009A03EE">
        <w:rPr>
          <w:lang w:val="en-GB"/>
        </w:rPr>
        <w:t xml:space="preserve"> and Constant Elasticity of Substitution (CES) expenditures</w:t>
      </w:r>
      <w:r w:rsidR="009272E6" w:rsidRPr="009A03EE">
        <w:rPr>
          <w:lang w:val="en-GB"/>
        </w:rPr>
        <w:t>,</w:t>
      </w:r>
      <w:r w:rsidR="00491551" w:rsidRPr="009A03EE">
        <w:rPr>
          <w:lang w:val="en-GB"/>
        </w:rPr>
        <w:t xml:space="preserve"> </w:t>
      </w:r>
      <w:r w:rsidR="00D03ED3" w:rsidRPr="009A03EE">
        <w:rPr>
          <w:lang w:val="en-GB"/>
        </w:rPr>
        <w:t>or</w:t>
      </w:r>
      <w:r w:rsidR="009272E6" w:rsidRPr="009A03EE">
        <w:rPr>
          <w:lang w:val="en-GB"/>
        </w:rPr>
        <w:t xml:space="preserve"> the</w:t>
      </w:r>
      <w:r w:rsidR="00D03ED3" w:rsidRPr="009A03EE">
        <w:rPr>
          <w:lang w:val="en-GB"/>
        </w:rPr>
        <w:t xml:space="preserve"> </w:t>
      </w:r>
      <w:proofErr w:type="spellStart"/>
      <w:r w:rsidR="00D03ED3" w:rsidRPr="009A03EE">
        <w:rPr>
          <w:lang w:val="en-GB"/>
        </w:rPr>
        <w:t>Armington</w:t>
      </w:r>
      <w:proofErr w:type="spellEnd"/>
      <w:r w:rsidR="00D03ED3" w:rsidRPr="009A03EE">
        <w:rPr>
          <w:lang w:val="en-GB"/>
        </w:rPr>
        <w:t>-CES assumption</w:t>
      </w:r>
      <w:r w:rsidR="00983318" w:rsidRPr="009A03EE">
        <w:rPr>
          <w:lang w:val="en-GB"/>
        </w:rPr>
        <w:t xml:space="preserve"> </w:t>
      </w:r>
      <w:r w:rsidR="00DF455C" w:rsidRPr="009A03EE">
        <w:rPr>
          <w:lang w:val="en-GB"/>
        </w:rPr>
        <w:fldChar w:fldCharType="begin"/>
      </w:r>
      <w:r w:rsidR="00DF455C" w:rsidRPr="009A03EE">
        <w:rPr>
          <w:lang w:val="en-GB"/>
        </w:rPr>
        <w:instrText xml:space="preserve"> ADDIN ZOTERO_ITEM CSL_CITATION {"citationID":"a3JgXMpG","properties":{"formattedCitation":"(Yotov et al. 2016; Chatzilazarou and Dadakas 2023)","plainCitation":"(Yotov et al. 2016; Chatzilazarou and Dadakas 2023)","noteIndex":0},"citationItems":[{"id":194,"uris":["http://zotero.org/users/13839746/items/TR9BRTSS"],"itemData":{"id":194,"type":"book","ISBN":"978-92-870-4368-9","language":"en","note":"DOI: 10.30875/abc0167e-en","publisher":"WTO","source":"DOI.org (Crossref)","title":"An Advanced Guide to Trade Policy Analysis​: The Structural Gravity Model","title-short":"An Advanced Guide to Trade Policy Analysis​","URL":"https://www.wto-ilibrary.org/content/books/9789287043689","author":[{"family":"Yotov","given":"Yoto V."},{"family":"Piermartini","given":"Roberta"},{"family":"Monteiro","given":"José-Antonio"},{"family":"Larch","given":"Mario"}],"accessed":{"date-parts":[["2024",7,24]]},"issued":{"date-parts":[["2016",11,15]]}}},{"id":249,"uris":["http://zotero.org/users/13839746/items/CUKBCPKK"],"itemData":{"id":249,"type":"article-journal","abstract":"Purpose This study deals with changes in European Union's (EU's) trade potential in Machinery (HS 84–85) and Transportation (HS86-89) products. Design/methodology/approach The study uses a Structural Gravity model, Poisson Pseudo Maximum Likelihood (PPML) estimation together with panel data for the years 2002–2018 and a two-step procedure that employs predicted values of bilateral trade to compare potential to actual trade. Findings Results for Machinery products suggest a potential to expand trade with existing Regional Trade Agreements (RTAs) in the American continent, and countries of the IGAD region in Africa. In Transportation, a high trade potential with RTAs is found in the Americas, Africa and the Middle East. Policy suggestions concentrate on opportunities for enhancing trade relations through trade liberalization and agreement proliferation. Originality/value There are no studies to date, that examine “collective” measure of EU trade potential, that treats the EU as a single country. Changes in existing opportunities to expand trade, common for EU members, are of special interest for policy formulation, especially after the recent turmoil presented by the Global Financial Crisis (GFC) and the Greek Economic Crisis (GEC). Treating the EU as a single entity, is necessary for the formulation of an effective, common, EU trade policy. This study concentrates on the manufacturing sector to examine existing opportunities for the EU to expand trade, after the GFC and the GEC. This article deals with Machinery (HS 84 and 85) and Transportation (HS 86 through 89) products as they comprise a significant part of total EU exports, reaching 41% of total exports in 2016. Finally, this study offers a unique illustration of results through trade potential heat maps.","container-title":"Journal of Economic Studies","DOI":"10.1108/JES-06-2023-0292","ISSN":"0144-3585","issue":"5","note":"publisher: Emerald Publishing Limited","page":"1144-1163","source":"Emerald Insight","title":"Trade potential in European Union manufacturing","volume":"51","author":[{"family":"Chatzilazarou","given":"Lazaros Antonios"},{"family":"Dadakas","given":"Dimitrios"}],"issued":{"date-parts":[["2023",1,1]]}}}],"schema":"https://github.com/citation-style-language/schema/raw/master/csl-citation.json"} </w:instrText>
      </w:r>
      <w:r w:rsidR="00DF455C" w:rsidRPr="009A03EE">
        <w:rPr>
          <w:lang w:val="en-GB"/>
        </w:rPr>
        <w:fldChar w:fldCharType="separate"/>
      </w:r>
      <w:r w:rsidR="00595013" w:rsidRPr="009A03EE">
        <w:rPr>
          <w:lang w:val="en-GB"/>
        </w:rPr>
        <w:t>(</w:t>
      </w:r>
      <w:proofErr w:type="spellStart"/>
      <w:r w:rsidR="00595013" w:rsidRPr="009A03EE">
        <w:rPr>
          <w:lang w:val="en-GB"/>
        </w:rPr>
        <w:t>Yotov</w:t>
      </w:r>
      <w:proofErr w:type="spellEnd"/>
      <w:r w:rsidR="00595013" w:rsidRPr="009A03EE">
        <w:rPr>
          <w:lang w:val="en-GB"/>
        </w:rPr>
        <w:t xml:space="preserve"> et al. 2016; </w:t>
      </w:r>
      <w:proofErr w:type="spellStart"/>
      <w:r w:rsidR="00595013" w:rsidRPr="009A03EE">
        <w:rPr>
          <w:lang w:val="en-GB"/>
        </w:rPr>
        <w:t>Chatzilazarou</w:t>
      </w:r>
      <w:proofErr w:type="spellEnd"/>
      <w:r w:rsidR="00595013" w:rsidRPr="009A03EE">
        <w:rPr>
          <w:lang w:val="en-GB"/>
        </w:rPr>
        <w:t xml:space="preserve"> and </w:t>
      </w:r>
      <w:proofErr w:type="spellStart"/>
      <w:r w:rsidR="00595013" w:rsidRPr="009A03EE">
        <w:rPr>
          <w:lang w:val="en-GB"/>
        </w:rPr>
        <w:t>Dadakas</w:t>
      </w:r>
      <w:proofErr w:type="spellEnd"/>
      <w:r w:rsidR="00595013" w:rsidRPr="009A03EE">
        <w:rPr>
          <w:lang w:val="en-GB"/>
        </w:rPr>
        <w:t xml:space="preserve"> 2023)</w:t>
      </w:r>
      <w:r w:rsidR="00DF455C" w:rsidRPr="009A03EE">
        <w:rPr>
          <w:lang w:val="en-GB"/>
        </w:rPr>
        <w:fldChar w:fldCharType="end"/>
      </w:r>
      <w:r w:rsidR="00256746" w:rsidRPr="009A03EE">
        <w:rPr>
          <w:lang w:val="en-GB"/>
        </w:rPr>
        <w:t xml:space="preserve">, which </w:t>
      </w:r>
      <w:r w:rsidR="00D24A03" w:rsidRPr="009A03EE">
        <w:rPr>
          <w:lang w:val="en-GB"/>
        </w:rPr>
        <w:t>led</w:t>
      </w:r>
      <w:r w:rsidR="00702515" w:rsidRPr="009A03EE">
        <w:rPr>
          <w:lang w:val="en-GB"/>
        </w:rPr>
        <w:t xml:space="preserve"> us</w:t>
      </w:r>
      <w:r w:rsidR="00D24A03" w:rsidRPr="009A03EE">
        <w:rPr>
          <w:lang w:val="en-GB"/>
        </w:rPr>
        <w:t xml:space="preserve"> to</w:t>
      </w:r>
      <w:r w:rsidR="00702515" w:rsidRPr="009A03EE">
        <w:rPr>
          <w:lang w:val="en-GB"/>
        </w:rPr>
        <w:t xml:space="preserve"> today’s generalized form of the gravity equation</w:t>
      </w:r>
      <w:r w:rsidR="00E64500" w:rsidRPr="009A03EE">
        <w:rPr>
          <w:lang w:val="en-GB"/>
        </w:rPr>
        <w:t xml:space="preserve">, </w:t>
      </w:r>
      <w:r w:rsidR="00D24A03" w:rsidRPr="009A03EE">
        <w:rPr>
          <w:lang w:val="en-GB"/>
        </w:rPr>
        <w:t xml:space="preserve">as developed </w:t>
      </w:r>
      <w:r w:rsidR="003815C7" w:rsidRPr="009A03EE">
        <w:rPr>
          <w:lang w:val="en-GB"/>
        </w:rPr>
        <w:t xml:space="preserve">and popularised </w:t>
      </w:r>
      <w:r w:rsidR="00D24A03" w:rsidRPr="009A03EE">
        <w:rPr>
          <w:lang w:val="en-GB"/>
        </w:rPr>
        <w:t xml:space="preserve">by Anderson and van </w:t>
      </w:r>
      <w:proofErr w:type="spellStart"/>
      <w:r w:rsidR="00D24A03" w:rsidRPr="009A03EE">
        <w:rPr>
          <w:lang w:val="en-GB"/>
        </w:rPr>
        <w:t>Wincoop</w:t>
      </w:r>
      <w:proofErr w:type="spellEnd"/>
      <w:r w:rsidR="00D24A03" w:rsidRPr="009A03EE">
        <w:rPr>
          <w:lang w:val="en-GB"/>
        </w:rPr>
        <w:t xml:space="preserve"> </w:t>
      </w:r>
      <w:r w:rsidR="00DF455C" w:rsidRPr="009A03EE">
        <w:rPr>
          <w:lang w:val="en-GB"/>
        </w:rPr>
        <w:fldChar w:fldCharType="begin"/>
      </w:r>
      <w:r w:rsidR="00DF455C" w:rsidRPr="009A03EE">
        <w:rPr>
          <w:lang w:val="en-GB"/>
        </w:rPr>
        <w:instrText xml:space="preserve"> ADDIN ZOTERO_ITEM CSL_CITATION {"citationID":"WY5ao1Fv","properties":{"formattedCitation":"(Anderson and van Wincoop 2003)","plainCitation":"(Anderson and van Wincoop 2003)","noteIndex":0},"citationItems":[{"id":253,"uris":["http://zotero.org/users/13839746/items/BRTAEV93"],"itemData":{"id":253,"type":"article-journal","abstract":"Gravity equations have been widely used to infer trade flow effects of various institutional arrangements. We show that estimated gravity equations do not have a theoretical foundation. This implies both that estimation suffers from omitted variables bias and that comparative statics analysis is unfounded. We develop a method that (i) consistently and efficiently estimates a theoretical gravity equation and (ii) correctly calculates the comparative statics of trade frictions. We apply the method to solve the famous McCallum border puzzle. Applying our method, we find that national borders reduce trade between industrialized countries by moderate amounts of 20-50 percent.","container-title":"The American Economic Review","ISSN":"0002-8282","issue":"1","note":"publisher: American Economic Association","page":"170-192","source":"JSTOR","title":"Gravity with Gravitas: A Solution to the Border Puzzle","title-short":"Gravity with Gravitas","volume":"93","author":[{"family":"Anderson","given":"James E."},{"family":"Wincoop","given":"Eric","non-dropping-particle":"van"}],"issued":{"date-parts":[["2003"]]}}}],"schema":"https://github.com/citation-style-language/schema/raw/master/csl-citation.json"} </w:instrText>
      </w:r>
      <w:r w:rsidR="00DF455C" w:rsidRPr="009A03EE">
        <w:rPr>
          <w:lang w:val="en-GB"/>
        </w:rPr>
        <w:fldChar w:fldCharType="separate"/>
      </w:r>
      <w:r w:rsidR="00595013" w:rsidRPr="009A03EE">
        <w:rPr>
          <w:noProof/>
          <w:lang w:val="en-GB"/>
        </w:rPr>
        <w:t>(Anderson and van Wincoop 2003)</w:t>
      </w:r>
      <w:r w:rsidR="00DF455C" w:rsidRPr="009A03EE">
        <w:rPr>
          <w:lang w:val="en-GB"/>
        </w:rPr>
        <w:fldChar w:fldCharType="end"/>
      </w:r>
      <w:r w:rsidR="00FD47DA" w:rsidRPr="009A03EE">
        <w:rPr>
          <w:lang w:val="en-GB"/>
        </w:rPr>
        <w:t xml:space="preserve">. </w:t>
      </w:r>
    </w:p>
    <w:p w14:paraId="26638880" w14:textId="77777777" w:rsidR="00407D2F" w:rsidRPr="009A03EE" w:rsidRDefault="00E93729" w:rsidP="004650A6">
      <w:pPr>
        <w:spacing w:line="360" w:lineRule="auto"/>
        <w:jc w:val="both"/>
        <w:rPr>
          <w:lang w:val="en-GB"/>
        </w:rPr>
      </w:pPr>
      <w:r w:rsidRPr="009A03EE">
        <w:rPr>
          <w:lang w:val="en-GB"/>
        </w:rPr>
        <w:t>Equally important,</w:t>
      </w:r>
      <w:r w:rsidR="00083E63" w:rsidRPr="009A03EE">
        <w:rPr>
          <w:lang w:val="en-GB"/>
        </w:rPr>
        <w:t xml:space="preserve"> several empirical developments </w:t>
      </w:r>
      <w:r w:rsidR="00CB0677" w:rsidRPr="009A03EE">
        <w:rPr>
          <w:lang w:val="en-GB"/>
        </w:rPr>
        <w:t>have</w:t>
      </w:r>
      <w:r w:rsidR="00C62DBD" w:rsidRPr="009A03EE">
        <w:rPr>
          <w:lang w:val="en-GB"/>
        </w:rPr>
        <w:t xml:space="preserve"> strength</w:t>
      </w:r>
      <w:r w:rsidR="003A70EE" w:rsidRPr="009A03EE">
        <w:rPr>
          <w:lang w:val="en-GB"/>
        </w:rPr>
        <w:t>ened</w:t>
      </w:r>
      <w:r w:rsidR="00C62DBD" w:rsidRPr="009A03EE">
        <w:rPr>
          <w:lang w:val="en-GB"/>
        </w:rPr>
        <w:t xml:space="preserve"> the gravity </w:t>
      </w:r>
      <w:r w:rsidR="001578B9" w:rsidRPr="009A03EE">
        <w:rPr>
          <w:lang w:val="en-GB"/>
        </w:rPr>
        <w:t>model and</w:t>
      </w:r>
      <w:r w:rsidR="0095715A" w:rsidRPr="009A03EE">
        <w:rPr>
          <w:lang w:val="en-GB"/>
        </w:rPr>
        <w:t xml:space="preserve"> inform our </w:t>
      </w:r>
      <w:r w:rsidR="001578B9" w:rsidRPr="009A03EE">
        <w:rPr>
          <w:lang w:val="en-GB"/>
        </w:rPr>
        <w:t xml:space="preserve">choice of </w:t>
      </w:r>
      <w:r w:rsidR="0095715A" w:rsidRPr="009A03EE">
        <w:rPr>
          <w:lang w:val="en-GB"/>
        </w:rPr>
        <w:t>methodology</w:t>
      </w:r>
      <w:r w:rsidR="00514330" w:rsidRPr="009A03EE">
        <w:rPr>
          <w:lang w:val="en-GB"/>
        </w:rPr>
        <w:t>:</w:t>
      </w:r>
      <w:r w:rsidR="00C62DBD" w:rsidRPr="009A03EE">
        <w:rPr>
          <w:lang w:val="en-GB"/>
        </w:rPr>
        <w:t xml:space="preserve"> </w:t>
      </w:r>
      <w:r w:rsidR="0041214D" w:rsidRPr="009A03EE">
        <w:rPr>
          <w:lang w:val="en-GB"/>
        </w:rPr>
        <w:t>Exporter-time and importer-time fixed effects are used t</w:t>
      </w:r>
      <w:r w:rsidR="001578B9" w:rsidRPr="009A03EE">
        <w:rPr>
          <w:lang w:val="en-GB"/>
        </w:rPr>
        <w:t xml:space="preserve">o account for the multilateral resistance terms in a gravity estimation with panel data </w:t>
      </w:r>
      <w:r w:rsidR="00DF455C" w:rsidRPr="009A03EE">
        <w:rPr>
          <w:lang w:val="en-GB"/>
        </w:rPr>
        <w:fldChar w:fldCharType="begin"/>
      </w:r>
      <w:r w:rsidR="00DF455C" w:rsidRPr="009A03EE">
        <w:rPr>
          <w:lang w:val="en-GB"/>
        </w:rPr>
        <w:instrText xml:space="preserve"> ADDIN ZOTERO_ITEM CSL_CITATION {"citationID":"0Dqczn0F","properties":{"formattedCitation":"(Olivero and Yotov 2012)","plainCitation":"(Olivero and Yotov 2012)","noteIndex":0},"citationItems":[{"id":261,"uris":["http://zotero.org/users/13839746/items/RE5VLUSZ"],"itemData":{"id":261,"type":"article-journal","abstract":"Numerous gravity applications have resorted to panel data econometric techniques over the past decade. However, with the theory of gravity being so far only static, these estimations lack solid structural dynamic foundations. As a consequence, a consensus on a unified dynamic gravity estimation approach is yet to be reached. In this paper, (i) we build the theoretical foundations for a dynamic gravity model, (ii) we provide guidance for gravity-type estimations with panel data and we consider applications, and (iii) we calibrate and simulate our model to compare its properties with those of the standard, static gravity setup.","container-title":"Canadian Journal of Economics/Revue canadienne d'économique","DOI":"10.1111/j.1540-5982.2011.01687.x","ISSN":"1540-5982","issue":"1","language":"en","license":"© Canadian Economics Association","note":"_eprint: https://onlinelibrary.wiley.com/doi/pdf/10.1111/j.1540-5982.2011.01687.x","page":"64-92","source":"Wiley Online Library","title":"Dynamic gravity: endogenous country size and asset accumulation","title-short":"Dynamic gravity","volume":"45","author":[{"family":"Olivero","given":"María Pía"},{"family":"Yotov","given":"Yoto V."}],"issued":{"date-parts":[["2012"]]}}}],"schema":"https://github.com/citation-style-language/schema/raw/master/csl-citation.json"} </w:instrText>
      </w:r>
      <w:r w:rsidR="00DF455C" w:rsidRPr="009A03EE">
        <w:rPr>
          <w:lang w:val="en-GB"/>
        </w:rPr>
        <w:fldChar w:fldCharType="separate"/>
      </w:r>
      <w:r w:rsidR="00595013" w:rsidRPr="009A03EE">
        <w:rPr>
          <w:noProof/>
          <w:lang w:val="en-GB"/>
        </w:rPr>
        <w:t>(Olivero and Yotov 2012)</w:t>
      </w:r>
      <w:r w:rsidR="00DF455C" w:rsidRPr="009A03EE">
        <w:rPr>
          <w:lang w:val="en-GB"/>
        </w:rPr>
        <w:fldChar w:fldCharType="end"/>
      </w:r>
      <w:r w:rsidR="00E050F3" w:rsidRPr="009A03EE">
        <w:rPr>
          <w:lang w:val="en-GB"/>
        </w:rPr>
        <w:t>;</w:t>
      </w:r>
      <w:r w:rsidR="001578B9" w:rsidRPr="009A03EE">
        <w:rPr>
          <w:lang w:val="en-GB"/>
        </w:rPr>
        <w:t xml:space="preserve"> </w:t>
      </w:r>
      <w:r w:rsidR="004C461E" w:rsidRPr="009A03EE">
        <w:rPr>
          <w:lang w:val="en-GB"/>
        </w:rPr>
        <w:t>As the gravity model is often estimated with an OSL estimator, zero-trade flows were dropped from the sample when trade was transformed into a logarithmic form. Also, trade data is recognized to suffer from heteroscedasticity</w:t>
      </w:r>
      <w:r w:rsidR="00983318" w:rsidRPr="009A03EE">
        <w:rPr>
          <w:lang w:val="en-GB"/>
        </w:rPr>
        <w:t xml:space="preserve"> </w:t>
      </w:r>
      <w:r w:rsidR="00DF455C" w:rsidRPr="009A03EE">
        <w:rPr>
          <w:lang w:val="en-GB"/>
        </w:rPr>
        <w:fldChar w:fldCharType="begin"/>
      </w:r>
      <w:r w:rsidR="00DF455C" w:rsidRPr="009A03EE">
        <w:rPr>
          <w:lang w:val="en-GB"/>
        </w:rPr>
        <w:instrText xml:space="preserve"> ADDIN ZOTERO_ITEM CSL_CITATION {"citationID":"yOX4x69A","properties":{"formattedCitation":"(Yotov et al. 2016)","plainCitation":"(Yotov et al. 2016)","noteIndex":0},"citationItems":[{"id":194,"uris":["http://zotero.org/users/13839746/items/TR9BRTSS"],"itemData":{"id":194,"type":"book","ISBN":"978-92-870-4368-9","language":"en","note":"DOI: 10.30875/abc0167e-en","publisher":"WTO","source":"DOI.org (Crossref)","title":"An Advanced Guide to Trade Policy Analysis​: The Structural Gravity Model","title-short":"An Advanced Guide to Trade Policy Analysis​","URL":"https://www.wto-ilibrary.org/content/books/9789287043689","author":[{"family":"Yotov","given":"Yoto V."},{"family":"Piermartini","given":"Roberta"},{"family":"Monteiro","given":"José-Antonio"},{"family":"Larch","given":"Mario"}],"accessed":{"date-parts":[["2024",7,24]]},"issued":{"date-parts":[["2016",11,15]]}}}],"schema":"https://github.com/citation-style-language/schema/raw/master/csl-citation.json"} </w:instrText>
      </w:r>
      <w:r w:rsidR="00DF455C" w:rsidRPr="009A03EE">
        <w:rPr>
          <w:lang w:val="en-GB"/>
        </w:rPr>
        <w:fldChar w:fldCharType="separate"/>
      </w:r>
      <w:r w:rsidR="00595013" w:rsidRPr="009A03EE">
        <w:rPr>
          <w:lang w:val="en-GB"/>
        </w:rPr>
        <w:t>(</w:t>
      </w:r>
      <w:proofErr w:type="spellStart"/>
      <w:r w:rsidR="00595013" w:rsidRPr="009A03EE">
        <w:rPr>
          <w:lang w:val="en-GB"/>
        </w:rPr>
        <w:t>Yotov</w:t>
      </w:r>
      <w:proofErr w:type="spellEnd"/>
      <w:r w:rsidR="00595013" w:rsidRPr="009A03EE">
        <w:rPr>
          <w:lang w:val="en-GB"/>
        </w:rPr>
        <w:t xml:space="preserve"> et al. 2016)</w:t>
      </w:r>
      <w:r w:rsidR="00DF455C" w:rsidRPr="009A03EE">
        <w:rPr>
          <w:lang w:val="en-GB"/>
        </w:rPr>
        <w:fldChar w:fldCharType="end"/>
      </w:r>
      <w:r w:rsidR="004C461E" w:rsidRPr="009A03EE">
        <w:rPr>
          <w:lang w:val="en-GB"/>
        </w:rPr>
        <w:t xml:space="preserve">. To solve for zero-trade </w:t>
      </w:r>
      <w:r w:rsidR="004C461E" w:rsidRPr="009A03EE">
        <w:rPr>
          <w:lang w:val="en-GB"/>
        </w:rPr>
        <w:lastRenderedPageBreak/>
        <w:t>flows</w:t>
      </w:r>
      <w:r w:rsidR="00983318" w:rsidRPr="009A03EE">
        <w:rPr>
          <w:lang w:val="en-GB"/>
        </w:rPr>
        <w:t xml:space="preserve"> and heteroscedasticity, the Poisson Pseudo Maximum Likelihood (PPML) estimator has been proposed to estimate the gravity model</w:t>
      </w:r>
      <w:r w:rsidR="00DF3FEB" w:rsidRPr="009A03EE">
        <w:rPr>
          <w:lang w:val="en-GB"/>
        </w:rPr>
        <w:t>, avoiding potential biases</w:t>
      </w:r>
      <w:r w:rsidR="001C443A" w:rsidRPr="009A03EE">
        <w:rPr>
          <w:lang w:val="en-GB"/>
        </w:rPr>
        <w:t xml:space="preserve"> </w:t>
      </w:r>
      <w:r w:rsidR="00DF455C" w:rsidRPr="009A03EE">
        <w:rPr>
          <w:lang w:val="en-GB"/>
        </w:rPr>
        <w:fldChar w:fldCharType="begin"/>
      </w:r>
      <w:r w:rsidR="00DF455C" w:rsidRPr="009A03EE">
        <w:rPr>
          <w:lang w:val="en-GB"/>
        </w:rPr>
        <w:instrText xml:space="preserve"> ADDIN ZOTERO_ITEM CSL_CITATION {"citationID":"g0PBEUhr","properties":{"formattedCitation":"(Silva and Tenreyro 2006; Santos Silva and Tenreyro 2011)","plainCitation":"(Silva and Tenreyro 2006; Santos Silva and Tenreyro 2011)","noteIndex":0},"citationItems":[{"id":242,"uris":["http://zotero.org/users/13839746/items/XM3TTKYE"],"itemData":{"id":242,"type":"article-journal","abstract":"Although economists have long been aware of Jensen's in-equality, many econometric applications have neglected an important implication of it: under heteroskedasticity, the parameters of log-linearized models estimated by OLS lead to biased estimates of the true elasticities. We explain why this problem arises and propose an appropriate estimator. Our criticism of conventional practices and the proposed solution extend to a broad range of applications where log-linearized equations are estimated. We develop the argument using one particular illustration, the gravity equation for trade. We find significant differences between estimates obtained with the proposed estimator and those obtained with the traditional method.","container-title":"The Review of Economics and Statistics","ISSN":"0034-6535","issue":"4","note":"publisher: The MIT Press","page":"641-658","source":"JSTOR","title":"The Log of Gravity","volume":"88","author":[{"family":"Silva","given":"J. M. C. Santos"},{"family":"Tenreyro","given":"Silvana"}],"issued":{"date-parts":[["2006"]]}}},{"id":244,"uris":["http://zotero.org/users/13839746/items/AWZMKKSB"],"itemData":{"id":244,"type":"article-journal","abstract":"We extend the simulation results in Santos Silva and Tenreyro (2006, The log of gravity, The Review of Economics and Statistics, 88, 641–658) by considering a novel data-generating process. Our results confirm that the Poisson pseudo-maximum likelihood estimator is generally well behaved, even when the proportion of zeros in the sample is very large.","container-title":"Economics Letters","DOI":"10.1016/j.econlet.2011.05.008","ISSN":"0165-1765","issue":"2","journalAbbreviation":"Economics Letters","page":"220-222","source":"ScienceDirect","title":"Further simulation evidence on the performance of the Poisson pseudo-maximum likelihood estimator","volume":"112","author":[{"family":"Santos Silva","given":"J. M. C."},{"family":"Tenreyro","given":"Silvana"}],"issued":{"date-parts":[["2011",8,1]]}}}],"schema":"https://github.com/citation-style-language/schema/raw/master/csl-citation.json"} </w:instrText>
      </w:r>
      <w:r w:rsidR="00DF455C" w:rsidRPr="009A03EE">
        <w:rPr>
          <w:lang w:val="en-GB"/>
        </w:rPr>
        <w:fldChar w:fldCharType="separate"/>
      </w:r>
      <w:r w:rsidR="00595013" w:rsidRPr="009A03EE">
        <w:rPr>
          <w:noProof/>
          <w:lang w:val="en-GB"/>
        </w:rPr>
        <w:t>(Silva and Tenreyro 2006; Santos Silva and Tenreyro 2011)</w:t>
      </w:r>
      <w:r w:rsidR="00DF455C" w:rsidRPr="009A03EE">
        <w:rPr>
          <w:lang w:val="en-GB"/>
        </w:rPr>
        <w:fldChar w:fldCharType="end"/>
      </w:r>
      <w:r w:rsidR="00E050F3" w:rsidRPr="009A03EE">
        <w:rPr>
          <w:lang w:val="en-GB"/>
        </w:rPr>
        <w:t>;</w:t>
      </w:r>
      <w:r w:rsidR="002353E3" w:rsidRPr="009A03EE">
        <w:rPr>
          <w:lang w:val="en-GB"/>
        </w:rPr>
        <w:t xml:space="preserve"> Country-pair fixed effects has been proposed to account for the unobserved endogeneity of trade policy </w:t>
      </w:r>
      <w:r w:rsidR="00DF455C" w:rsidRPr="009A03EE">
        <w:rPr>
          <w:lang w:val="en-GB"/>
        </w:rPr>
        <w:fldChar w:fldCharType="begin"/>
      </w:r>
      <w:r w:rsidR="00DF455C" w:rsidRPr="009A03EE">
        <w:rPr>
          <w:lang w:val="en-GB"/>
        </w:rPr>
        <w:instrText xml:space="preserve"> ADDIN ZOTERO_ITEM CSL_CITATION {"citationID":"KB7HQQap","properties":{"formattedCitation":"(Baier and Bergstrand 2007)","plainCitation":"(Baier and Bergstrand 2007)","noteIndex":0},"citationItems":[{"id":232,"uris":["http://zotero.org/users/13839746/items/BL77KKLZ"],"itemData":{"id":232,"type":"article-journal","abstract":"For over 40 years, the gravity equation has been a workhorse for cross-country empirical analyses of international trade flows and — in particular — the effects of free trade agreements (FTAs) on trade flows. However, the gravity equation is subject to the same econometric critique as earlier cross-industry studies of U.S. tariff and nontariff barriers and U.S. multilateral imports: trade policy is not an exogenous variable. We address econometrically the endogeneity of FTAs. Although instrumental-variable and control-function approaches do not adjust for endogeneity well, a panel approach does. Accounting econometrically for the FTA variable's endogeneity yields striking empirical results: the effect of FTAs on trade flows is quintupled. We find that, on average, an FTA approximately doubles two members' bilateral trade after 10 years.","container-title":"Journal of International Economics","DOI":"10.1016/j.jinteco.2006.02.005","ISSN":"0022-1996","issue":"1","journalAbbreviation":"Journal of International Economics","page":"72-95","source":"ScienceDirect","title":"Do free trade agreements actually increase members' international trade?","volume":"71","author":[{"family":"Baier","given":"Scott L."},{"family":"Bergstrand","given":"Jeffrey H."}],"issued":{"date-parts":[["2007",3,8]]}}}],"schema":"https://github.com/citation-style-language/schema/raw/master/csl-citation.json"} </w:instrText>
      </w:r>
      <w:r w:rsidR="00DF455C" w:rsidRPr="009A03EE">
        <w:rPr>
          <w:lang w:val="en-GB"/>
        </w:rPr>
        <w:fldChar w:fldCharType="separate"/>
      </w:r>
      <w:r w:rsidR="00595013" w:rsidRPr="009A03EE">
        <w:rPr>
          <w:noProof/>
          <w:lang w:val="en-GB"/>
        </w:rPr>
        <w:t>(Baier and Bergstrand 2007)</w:t>
      </w:r>
      <w:r w:rsidR="00DF455C" w:rsidRPr="009A03EE">
        <w:rPr>
          <w:lang w:val="en-GB"/>
        </w:rPr>
        <w:fldChar w:fldCharType="end"/>
      </w:r>
      <w:r w:rsidR="002353E3" w:rsidRPr="009A03EE">
        <w:rPr>
          <w:lang w:val="en-GB"/>
        </w:rPr>
        <w:t>. It is worth nothing that the inclusion of exporter-time and importer-time fixed effects</w:t>
      </w:r>
      <w:r w:rsidR="009E1268" w:rsidRPr="009A03EE">
        <w:rPr>
          <w:lang w:val="en-GB"/>
        </w:rPr>
        <w:t xml:space="preserve"> will absorb all observable and unobservable time-varying country-specific characteristics that could affect the dependent variable, while the country-pair fixed effects</w:t>
      </w:r>
      <w:r w:rsidR="002353E3" w:rsidRPr="009A03EE">
        <w:rPr>
          <w:lang w:val="en-GB"/>
        </w:rPr>
        <w:t xml:space="preserve"> will absorb </w:t>
      </w:r>
      <w:r w:rsidR="009E1268" w:rsidRPr="009A03EE">
        <w:rPr>
          <w:lang w:val="en-GB"/>
        </w:rPr>
        <w:t>observable and unobservable</w:t>
      </w:r>
      <w:r w:rsidR="002353E3" w:rsidRPr="009A03EE">
        <w:rPr>
          <w:lang w:val="en-GB"/>
        </w:rPr>
        <w:t xml:space="preserve"> bilateral</w:t>
      </w:r>
      <w:r w:rsidR="009E1268" w:rsidRPr="009A03EE">
        <w:rPr>
          <w:lang w:val="en-GB"/>
        </w:rPr>
        <w:t xml:space="preserve"> time-invariant characteristics</w:t>
      </w:r>
      <w:r w:rsidR="00AB0C90" w:rsidRPr="009A03EE">
        <w:rPr>
          <w:lang w:val="en-GB"/>
        </w:rPr>
        <w:t xml:space="preserve"> that could affect trade costs</w:t>
      </w:r>
      <w:r w:rsidR="00E050F3" w:rsidRPr="009A03EE">
        <w:rPr>
          <w:lang w:val="en-GB"/>
        </w:rPr>
        <w:t>;</w:t>
      </w:r>
      <w:r w:rsidR="005A55C7" w:rsidRPr="009A03EE">
        <w:rPr>
          <w:lang w:val="en-GB"/>
        </w:rPr>
        <w:t xml:space="preserve"> </w:t>
      </w:r>
      <w:r w:rsidR="000971F4" w:rsidRPr="009A03EE">
        <w:rPr>
          <w:lang w:val="en-GB"/>
        </w:rPr>
        <w:t xml:space="preserve">The inclusion of intra-trade flows as well as international trade flows is proposed to correctly estimate the effects of non-discriminatory trade policy, allowing for consumers to choose products from both international and domestic sources </w:t>
      </w:r>
      <w:r w:rsidR="00DF455C" w:rsidRPr="009A03EE">
        <w:rPr>
          <w:lang w:val="en-GB"/>
        </w:rPr>
        <w:fldChar w:fldCharType="begin"/>
      </w:r>
      <w:r w:rsidR="00DF455C" w:rsidRPr="009A03EE">
        <w:rPr>
          <w:lang w:val="en-GB"/>
        </w:rPr>
        <w:instrText xml:space="preserve"> ADDIN ZOTERO_ITEM CSL_CITATION {"citationID":"xeTyzcFJ","properties":{"formattedCitation":"(Dai, Yotov, and Zylkin 2014; Heid, Larch, and Yotov 2017)","plainCitation":"(Dai, Yotov, and Zylkin 2014; Heid, Larch, and Yotov 2017)","noteIndex":0},"citationItems":[{"id":273,"uris":["http://zotero.org/users/13839746/items/MFIGNNC4"],"itemData":{"id":273,"type":"article-journal","abstract":"Trade-diversion effects of free trade agreements (FTAs) have not been thoroughly examined empirically. Using a novel empirical approach, we confirm that FTAs divert trade away from non-member countries and even more so from internal trade (domestic sales) in member countries.","container-title":"Economics Letters","DOI":"10.1016/j.econlet.2013.12.024","ISSN":"0165-1765","issue":"2","journalAbbreviation":"Economics Letters","page":"321-325","source":"ScienceDirect","title":"On the trade-diversion effects of free trade agreements","volume":"122","author":[{"family":"Dai","given":"Mian"},{"family":"Yotov","given":"Yoto V."},{"family":"Zylkin","given":"Thomas"}],"issued":{"date-parts":[["2014",2,1]]}}},{"id":267,"uris":["http://zotero.org/users/13839746/items/WLEIJS7L"],"itemData":{"id":267,"type":"article","abstract":"We propose a simple method to identify the effects of unilateral and non-discriminatory trade policies on bilateral trade within a theoretically-consistent empirical gravity model. Specifically, we argue that structural gravity estimations should be performed with data that include not only international trade flows but also intra-national trade flows. The use of intra-national sales allows identification of the effects of non-discriminatory trade policies on the importer side (e.g. most favored nation tariffs) and on the exporter side (e.g. export subsidies), even in the presence of exporter and importer fixed effects. An important byproduct of our approach is that it can be used to recover estimates of the export-supply elasticity and of the import-demand elasticity. We demonstrate the effectiveness of our techniques in the case of MFN tariffs and \"Time to Export\" as representative determinants of trade on the importer and on the exporter side, respectively. Our methods can be extended to quantify the impact on trade of any country-specific characteristics as well as any non-trade policies.","DOI":"10.2139/ssrn.3100014","event-place":"Rochester, NY","genre":"SSRN Scholarly Paper","language":"en","number":"3100014","publisher-place":"Rochester, NY","source":"Social Science Research Network","title":"Estimating the Effects of Non-Discriminatory Trade Policies within Structural Gravity Models","URL":"https://papers.ssrn.com/abstract=3100014","author":[{"family":"Heid","given":"Benedikt"},{"family":"Larch","given":"Mario"},{"family":"Yotov","given":"Yoto V."}],"accessed":{"date-parts":[["2024",8,7]]},"issued":{"date-parts":[["2017",11,16]]}}}],"schema":"https://github.com/citation-style-language/schema/raw/master/csl-citation.json"} </w:instrText>
      </w:r>
      <w:r w:rsidR="00DF455C" w:rsidRPr="009A03EE">
        <w:rPr>
          <w:lang w:val="en-GB"/>
        </w:rPr>
        <w:fldChar w:fldCharType="separate"/>
      </w:r>
      <w:r w:rsidR="00595013" w:rsidRPr="009A03EE">
        <w:rPr>
          <w:noProof/>
          <w:lang w:val="en-GB"/>
        </w:rPr>
        <w:t>(Dai, Yotov, and Zylkin 2014; Heid, Larch, and Yotov 2017)</w:t>
      </w:r>
      <w:r w:rsidR="00DF455C" w:rsidRPr="009A03EE">
        <w:rPr>
          <w:lang w:val="en-GB"/>
        </w:rPr>
        <w:fldChar w:fldCharType="end"/>
      </w:r>
      <w:r w:rsidR="00E050F3" w:rsidRPr="009A03EE">
        <w:rPr>
          <w:lang w:val="en-GB"/>
        </w:rPr>
        <w:t xml:space="preserve">; </w:t>
      </w:r>
      <w:r w:rsidR="003A3CBC" w:rsidRPr="009A03EE">
        <w:rPr>
          <w:lang w:val="en-GB"/>
        </w:rPr>
        <w:t>Y</w:t>
      </w:r>
      <w:r w:rsidR="003D712F" w:rsidRPr="009A03EE">
        <w:rPr>
          <w:lang w:val="en-GB"/>
        </w:rPr>
        <w:t xml:space="preserve">ear-intervals instead of data pooled over consecutive years should be used to allow for adjustment of trade flows to policies that might not have immediate effects </w:t>
      </w:r>
      <w:r w:rsidR="00DF455C" w:rsidRPr="009A03EE">
        <w:rPr>
          <w:lang w:val="en-GB"/>
        </w:rPr>
        <w:fldChar w:fldCharType="begin"/>
      </w:r>
      <w:r w:rsidR="00DF455C" w:rsidRPr="009A03EE">
        <w:rPr>
          <w:lang w:val="en-GB"/>
        </w:rPr>
        <w:instrText xml:space="preserve"> ADDIN ZOTERO_ITEM CSL_CITATION {"citationID":"XkWzhbrT","properties":{"formattedCitation":"(Baier and Bergstrand 2007; Anderson and Yotov 2016)","plainCitation":"(Baier and Bergstrand 2007; Anderson and Yotov 2016)","noteIndex":0},"citationItems":[{"id":232,"uris":["http://zotero.org/users/13839746/items/BL77KKLZ"],"itemData":{"id":232,"type":"article-journal","abstract":"For over 40 years, the gravity equation has been a workhorse for cross-country empirical analyses of international trade flows and — in particular — the effects of free trade agreements (FTAs) on trade flows. However, the gravity equation is subject to the same econometric critique as earlier cross-industry studies of U.S. tariff and nontariff barriers and U.S. multilateral imports: trade policy is not an exogenous variable. We address econometrically the endogeneity of FTAs. Although instrumental-variable and control-function approaches do not adjust for endogeneity well, a panel approach does. Accounting econometrically for the FTA variable's endogeneity yields striking empirical results: the effect of FTAs on trade flows is quintupled. We find that, on average, an FTA approximately doubles two members' bilateral trade after 10 years.","container-title":"Journal of International Economics","DOI":"10.1016/j.jinteco.2006.02.005","ISSN":"0022-1996","issue":"1","journalAbbreviation":"Journal of International Economics","page":"72-95","source":"ScienceDirect","title":"Do free trade agreements actually increase members' international trade?","volume":"71","author":[{"family":"Baier","given":"Scott L."},{"family":"Bergstrand","given":"Jeffrey H."}],"issued":{"date-parts":[["2007",3,8]]}}},{"id":258,"uris":["http://zotero.org/users/13839746/items/ILZLPQ7V"],"itemData":{"id":258,"type":"article-journal","abstract":"This paper infers the terms of trade effects of free trade agreements (FTAs) implemented in the 1990s. We estimate large FTA effects on bilateral trade volume in 2 digit manufacturing goods from 1990–2002, using panel data gravity methods to resolve two way causality. The terms of trade changes implied by these volume effects are deduced for 40 countries plus a rest-of-the-world aggregate using an endowments general equilibrium model. Some countries gain over 5% of real manufacturing income, some lose less than 0.3%. Global efficiency of manufactures trade rises 0.9% based on a distance function measure of iceberg melting.","container-title":"Journal of International Economics","DOI":"10.1016/j.jinteco.2015.10.006","ISSN":"0022-1996","journalAbbreviation":"Journal of International Economics","page":"279-298","source":"ScienceDirect","title":"Terms of trade and global efficiency effects of free trade agreements, 1990–2002","volume":"99","author":[{"family":"Anderson","given":"James E."},{"family":"Yotov","given":"Yoto V."}],"issued":{"date-parts":[["2016",3,1]]}}}],"schema":"https://github.com/citation-style-language/schema/raw/master/csl-citation.json"} </w:instrText>
      </w:r>
      <w:r w:rsidR="00DF455C" w:rsidRPr="009A03EE">
        <w:rPr>
          <w:lang w:val="en-GB"/>
        </w:rPr>
        <w:fldChar w:fldCharType="separate"/>
      </w:r>
      <w:r w:rsidR="00595013" w:rsidRPr="009A03EE">
        <w:rPr>
          <w:noProof/>
          <w:lang w:val="en-GB"/>
        </w:rPr>
        <w:t>(Baier and Bergstrand 2007; Anderson and Yotov 2016)</w:t>
      </w:r>
      <w:r w:rsidR="00DF455C" w:rsidRPr="009A03EE">
        <w:rPr>
          <w:lang w:val="en-GB"/>
        </w:rPr>
        <w:fldChar w:fldCharType="end"/>
      </w:r>
      <w:r w:rsidR="003A3CBC" w:rsidRPr="009A03EE">
        <w:rPr>
          <w:lang w:val="en-GB"/>
        </w:rPr>
        <w:t>; And finally, to account for the effects of globalization forces that may biased the estimates of trade policies, a set of globalization dummies are recommended to control for the effects of globalization in the gravity model</w:t>
      </w:r>
      <w:r w:rsidR="007C65C1" w:rsidRPr="009A03EE">
        <w:rPr>
          <w:lang w:val="en-GB"/>
        </w:rPr>
        <w:t xml:space="preserve"> </w:t>
      </w:r>
      <w:r w:rsidR="00DF455C" w:rsidRPr="009A03EE">
        <w:rPr>
          <w:lang w:val="en-GB"/>
        </w:rPr>
        <w:fldChar w:fldCharType="begin"/>
      </w:r>
      <w:r w:rsidR="00DF455C" w:rsidRPr="009A03EE">
        <w:rPr>
          <w:lang w:val="en-GB"/>
        </w:rPr>
        <w:instrText xml:space="preserve"> ADDIN ZOTERO_ITEM CSL_CITATION {"citationID":"qzQ1XlV6","properties":{"formattedCitation":"(Yotov 2012; Bergstrand, Larch, and Yotov 2015)","plainCitation":"(Yotov 2012; Bergstrand, Larch, and Yotov 2015)","noteIndex":0},"citationItems":[{"id":271,"uris":["http://zotero.org/users/13839746/items/UY58CB3M"],"itemData":{"id":271,"type":"article-journal","abstract":"I propose a simple solution to the distance puzzle in international trade. Contrary to existing estimates of persistent or increasing distance effects on trade, I offer robust evidence that the impact of distance on trade has fallen steadily over time.","container-title":"Economics Letters","DOI":"10.1016/j.econlet.2012.08.032","ISSN":"0165-1765","issue":"3","journalAbbreviation":"Economics Letters","page":"794-798","source":"ScienceDirect","title":"A simple solution to the distance puzzle in international trade","volume":"117","author":[{"family":"Yotov","given":"Yoto V."}],"issued":{"date-parts":[["2012",12,1]]}}},{"id":238,"uris":["http://zotero.org/users/13839746/items/VF28CZJB"],"itemData":{"id":238,"type":"article-journal","abstract":"Using a novel common econometric specification, we examine the measurement of three important effects in international trade that historically have been addressed largely separately: the (partial) effects on trade of economic integration agreements, international borders, and bilateral distance. First, recent studies focusing on precise and unbiased estimates of effects of economic integration agreements (EIAs) on members׳ trade may be biased upward owing to inadequate control for time-varying exogenous unobservable country-pair-specific changes in bilateral export costs (possibly decreasing the costs of international relative to intranational trade); we find evidence of this bias using a properly specified gravity equation. Second, our novel methodology yields statistically significant estimates of the declining effect of “international borders” on world trade, now accounting for endogenous EIA formations and unobserved country-pair heterogeneity in initial levels. Third, we confirm recent evidence providing a solution to the “distance-elasticity puzzle,” but show that these estimates of the declining effect of distance on international trade are biased upward by not accounting for endogenous EIA formations and unobserved country-pair heterogeneity. We conclude our study with numerical general equilibrium comparative statics illustrating a substantive difference on trade effects of EIAs with and without allowance for the declining effects of international borders on world trade.","container-title":"European Economic Review","DOI":"10.1016/j.euroecorev.2015.06.003","ISSN":"0014-2921","journalAbbreviation":"European Economic Review","page":"307-327","source":"ScienceDirect","title":"Economic integration agreements, border effects, and distance elasticities in the gravity equation","volume":"78","author":[{"family":"Bergstrand","given":"Jeffrey H."},{"family":"Larch","given":"Mario"},{"family":"Yotov","given":"Yoto V."}],"issued":{"date-parts":[["2015",8,1]]}}}],"schema":"https://github.com/citation-style-language/schema/raw/master/csl-citation.json"} </w:instrText>
      </w:r>
      <w:r w:rsidR="00DF455C" w:rsidRPr="009A03EE">
        <w:rPr>
          <w:lang w:val="en-GB"/>
        </w:rPr>
        <w:fldChar w:fldCharType="separate"/>
      </w:r>
      <w:r w:rsidR="00595013" w:rsidRPr="009A03EE">
        <w:rPr>
          <w:noProof/>
          <w:lang w:val="en-GB"/>
        </w:rPr>
        <w:t>(Yotov 2012; Bergstrand, Larch, and Yotov 2015)</w:t>
      </w:r>
      <w:r w:rsidR="00DF455C" w:rsidRPr="009A03EE">
        <w:rPr>
          <w:lang w:val="en-GB"/>
        </w:rPr>
        <w:fldChar w:fldCharType="end"/>
      </w:r>
      <w:r w:rsidR="007C65C1" w:rsidRPr="009A03EE">
        <w:rPr>
          <w:lang w:val="en-GB"/>
        </w:rPr>
        <w:t>.</w:t>
      </w:r>
      <w:r w:rsidR="00843359" w:rsidRPr="009A03EE">
        <w:rPr>
          <w:lang w:val="en-GB"/>
        </w:rPr>
        <w:t xml:space="preserve"> </w:t>
      </w:r>
    </w:p>
    <w:p w14:paraId="6CCCE67B" w14:textId="77777777" w:rsidR="00FF108F" w:rsidRPr="009A03EE" w:rsidRDefault="00FF108F">
      <w:pPr>
        <w:rPr>
          <w:lang w:val="en-GB"/>
        </w:rPr>
      </w:pPr>
    </w:p>
    <w:p w14:paraId="6A9F9906" w14:textId="5E26E41F" w:rsidR="00FF108F" w:rsidRPr="009A03EE" w:rsidRDefault="00FF108F">
      <w:pPr>
        <w:rPr>
          <w:lang w:val="en-GB"/>
        </w:rPr>
      </w:pPr>
      <w:r w:rsidRPr="009A03EE">
        <w:rPr>
          <w:lang w:val="en-GB"/>
        </w:rPr>
        <w:t>References</w:t>
      </w:r>
    </w:p>
    <w:p w14:paraId="4C924B08" w14:textId="77777777" w:rsidR="00FF108F" w:rsidRPr="009A03EE" w:rsidRDefault="00FF108F">
      <w:pPr>
        <w:rPr>
          <w:lang w:val="en-GB"/>
        </w:rPr>
      </w:pPr>
    </w:p>
    <w:p w14:paraId="00723EC9" w14:textId="77777777" w:rsidR="00A7428A" w:rsidRPr="009A03EE" w:rsidRDefault="00D56B41" w:rsidP="00A7428A">
      <w:pPr>
        <w:pStyle w:val="Bibliography"/>
        <w:rPr>
          <w:lang w:val="en-GB"/>
        </w:rPr>
      </w:pPr>
      <w:r w:rsidRPr="009A03EE">
        <w:rPr>
          <w:lang w:val="en-GB"/>
        </w:rPr>
        <w:fldChar w:fldCharType="begin"/>
      </w:r>
      <w:r w:rsidRPr="009A03EE">
        <w:rPr>
          <w:lang w:val="en-GB"/>
        </w:rPr>
        <w:instrText xml:space="preserve"> ADDIN ZOTERO_BIBL {"uncited":[],"omitted":[],"custom":[]} CSL_BIBLIOGRAPHY </w:instrText>
      </w:r>
      <w:r w:rsidRPr="009A03EE">
        <w:rPr>
          <w:lang w:val="en-GB"/>
        </w:rPr>
        <w:fldChar w:fldCharType="separate"/>
      </w:r>
      <w:r w:rsidR="00A7428A" w:rsidRPr="009A03EE">
        <w:rPr>
          <w:lang w:val="en-GB"/>
        </w:rPr>
        <w:t xml:space="preserve">Anderson, James E. 1979. “A Theoretical Foundation for the Gravity Equation.” </w:t>
      </w:r>
      <w:r w:rsidR="00A7428A" w:rsidRPr="009A03EE">
        <w:rPr>
          <w:i/>
          <w:iCs/>
          <w:lang w:val="en-GB"/>
        </w:rPr>
        <w:t>The American Economic Review</w:t>
      </w:r>
      <w:r w:rsidR="00A7428A" w:rsidRPr="009A03EE">
        <w:rPr>
          <w:lang w:val="en-GB"/>
        </w:rPr>
        <w:t xml:space="preserve"> 69 (1): 106–16.</w:t>
      </w:r>
    </w:p>
    <w:p w14:paraId="39DF4C0F" w14:textId="77777777" w:rsidR="00A7428A" w:rsidRPr="009A03EE" w:rsidRDefault="00A7428A" w:rsidP="00A7428A">
      <w:pPr>
        <w:pStyle w:val="Bibliography"/>
        <w:rPr>
          <w:lang w:val="en-GB"/>
        </w:rPr>
      </w:pPr>
      <w:r w:rsidRPr="009A03EE">
        <w:rPr>
          <w:lang w:val="en-GB"/>
        </w:rPr>
        <w:t xml:space="preserve">Anderson, James E., and Eric van </w:t>
      </w:r>
      <w:proofErr w:type="spellStart"/>
      <w:r w:rsidRPr="009A03EE">
        <w:rPr>
          <w:lang w:val="en-GB"/>
        </w:rPr>
        <w:t>Wincoop</w:t>
      </w:r>
      <w:proofErr w:type="spellEnd"/>
      <w:r w:rsidRPr="009A03EE">
        <w:rPr>
          <w:lang w:val="en-GB"/>
        </w:rPr>
        <w:t xml:space="preserve">. 2003. “Gravity with Gravitas: A Solution to the Border Puzzle.” </w:t>
      </w:r>
      <w:r w:rsidRPr="009A03EE">
        <w:rPr>
          <w:i/>
          <w:iCs/>
          <w:lang w:val="en-GB"/>
        </w:rPr>
        <w:t>The American Economic Review</w:t>
      </w:r>
      <w:r w:rsidRPr="009A03EE">
        <w:rPr>
          <w:lang w:val="en-GB"/>
        </w:rPr>
        <w:t xml:space="preserve"> 93 (1): 170–92.</w:t>
      </w:r>
    </w:p>
    <w:p w14:paraId="4675A747" w14:textId="77777777" w:rsidR="00A7428A" w:rsidRPr="009A03EE" w:rsidRDefault="00A7428A" w:rsidP="00A7428A">
      <w:pPr>
        <w:pStyle w:val="Bibliography"/>
        <w:rPr>
          <w:lang w:val="en-GB"/>
        </w:rPr>
      </w:pPr>
      <w:r w:rsidRPr="009A03EE">
        <w:rPr>
          <w:lang w:val="en-GB"/>
        </w:rPr>
        <w:t xml:space="preserve">Anderson, James E., and Yoto V. </w:t>
      </w:r>
      <w:proofErr w:type="spellStart"/>
      <w:r w:rsidRPr="009A03EE">
        <w:rPr>
          <w:lang w:val="en-GB"/>
        </w:rPr>
        <w:t>Yotov</w:t>
      </w:r>
      <w:proofErr w:type="spellEnd"/>
      <w:r w:rsidRPr="009A03EE">
        <w:rPr>
          <w:lang w:val="en-GB"/>
        </w:rPr>
        <w:t xml:space="preserve">. 2016. “Terms of Trade and Global Efficiency Effects of Free Trade Agreements, 1990–2002.” </w:t>
      </w:r>
      <w:r w:rsidRPr="009A03EE">
        <w:rPr>
          <w:i/>
          <w:iCs/>
          <w:lang w:val="en-GB"/>
        </w:rPr>
        <w:t>Journal of International Economics</w:t>
      </w:r>
      <w:r w:rsidRPr="009A03EE">
        <w:rPr>
          <w:lang w:val="en-GB"/>
        </w:rPr>
        <w:t xml:space="preserve"> 99 (March):279–98. https://doi.org/10.1016/j.jinteco.2015.10.006.</w:t>
      </w:r>
    </w:p>
    <w:p w14:paraId="2A9F2D34" w14:textId="77777777" w:rsidR="00A7428A" w:rsidRPr="009A03EE" w:rsidRDefault="00A7428A" w:rsidP="00A7428A">
      <w:pPr>
        <w:pStyle w:val="Bibliography"/>
        <w:rPr>
          <w:lang w:val="en-GB"/>
        </w:rPr>
      </w:pPr>
      <w:r w:rsidRPr="009A03EE">
        <w:rPr>
          <w:lang w:val="en-GB"/>
        </w:rPr>
        <w:t xml:space="preserve">Baier, Scott L., and Jeffrey H. </w:t>
      </w:r>
      <w:proofErr w:type="spellStart"/>
      <w:r w:rsidRPr="009A03EE">
        <w:rPr>
          <w:lang w:val="en-GB"/>
        </w:rPr>
        <w:t>Bergstrand</w:t>
      </w:r>
      <w:proofErr w:type="spellEnd"/>
      <w:r w:rsidRPr="009A03EE">
        <w:rPr>
          <w:lang w:val="en-GB"/>
        </w:rPr>
        <w:t xml:space="preserve">. 2007. “Do Free Trade Agreements Actually Increase Members’ International Trade?” </w:t>
      </w:r>
      <w:r w:rsidRPr="009A03EE">
        <w:rPr>
          <w:i/>
          <w:iCs/>
          <w:lang w:val="en-GB"/>
        </w:rPr>
        <w:t>Journal of International Economics</w:t>
      </w:r>
      <w:r w:rsidRPr="009A03EE">
        <w:rPr>
          <w:lang w:val="en-GB"/>
        </w:rPr>
        <w:t xml:space="preserve"> 71 (1): 72–95. https://doi.org/10.1016/j.jinteco.2006.02.005.</w:t>
      </w:r>
    </w:p>
    <w:p w14:paraId="3795F8A3" w14:textId="77777777" w:rsidR="00A7428A" w:rsidRPr="009A03EE" w:rsidRDefault="00A7428A" w:rsidP="00A7428A">
      <w:pPr>
        <w:pStyle w:val="Bibliography"/>
        <w:rPr>
          <w:lang w:val="en-GB"/>
        </w:rPr>
      </w:pPr>
      <w:r w:rsidRPr="009A03EE">
        <w:rPr>
          <w:lang w:val="en-GB"/>
        </w:rPr>
        <w:t xml:space="preserve">Baier, Scott L., Yoto V. </w:t>
      </w:r>
      <w:proofErr w:type="spellStart"/>
      <w:r w:rsidRPr="009A03EE">
        <w:rPr>
          <w:lang w:val="en-GB"/>
        </w:rPr>
        <w:t>Yotov</w:t>
      </w:r>
      <w:proofErr w:type="spellEnd"/>
      <w:r w:rsidRPr="009A03EE">
        <w:rPr>
          <w:lang w:val="en-GB"/>
        </w:rPr>
        <w:t xml:space="preserve">, and Thomas </w:t>
      </w:r>
      <w:proofErr w:type="spellStart"/>
      <w:r w:rsidRPr="009A03EE">
        <w:rPr>
          <w:lang w:val="en-GB"/>
        </w:rPr>
        <w:t>Zylkin</w:t>
      </w:r>
      <w:proofErr w:type="spellEnd"/>
      <w:r w:rsidRPr="009A03EE">
        <w:rPr>
          <w:lang w:val="en-GB"/>
        </w:rPr>
        <w:t xml:space="preserve">. 2019. “On the Widely Differing Effects of Free Trade Agreements: Lessons from Twenty Years of Trade Integration.” </w:t>
      </w:r>
      <w:r w:rsidRPr="009A03EE">
        <w:rPr>
          <w:i/>
          <w:iCs/>
          <w:lang w:val="en-GB"/>
        </w:rPr>
        <w:t>Journal of International Economics</w:t>
      </w:r>
      <w:r w:rsidRPr="009A03EE">
        <w:rPr>
          <w:lang w:val="en-GB"/>
        </w:rPr>
        <w:t xml:space="preserve"> 116 (January):206–26. https://doi.org/10.1016/j.jinteco.2018.11.002.</w:t>
      </w:r>
    </w:p>
    <w:p w14:paraId="0F704967" w14:textId="77777777" w:rsidR="00A7428A" w:rsidRPr="009A03EE" w:rsidRDefault="00A7428A" w:rsidP="00A7428A">
      <w:pPr>
        <w:pStyle w:val="Bibliography"/>
        <w:rPr>
          <w:lang w:val="en-GB"/>
        </w:rPr>
      </w:pPr>
      <w:r w:rsidRPr="009A03EE">
        <w:rPr>
          <w:lang w:val="en-GB"/>
        </w:rPr>
        <w:t xml:space="preserve">Bastos, Paulo, and Joana Silva. 2010. “The Quality of a Firm’s Exports: Where You Export to Matters.” </w:t>
      </w:r>
      <w:r w:rsidRPr="009A03EE">
        <w:rPr>
          <w:i/>
          <w:iCs/>
          <w:lang w:val="en-GB"/>
        </w:rPr>
        <w:t>Journal of International Economics</w:t>
      </w:r>
      <w:r w:rsidRPr="009A03EE">
        <w:rPr>
          <w:lang w:val="en-GB"/>
        </w:rPr>
        <w:t xml:space="preserve"> 82 (2): 99–111. https://doi.org/10.1016/j.jinteco.2010.07.001.</w:t>
      </w:r>
    </w:p>
    <w:p w14:paraId="61BCB322" w14:textId="77777777" w:rsidR="00A7428A" w:rsidRPr="009A03EE" w:rsidRDefault="00A7428A" w:rsidP="00A7428A">
      <w:pPr>
        <w:pStyle w:val="Bibliography"/>
        <w:rPr>
          <w:lang w:val="en-GB"/>
        </w:rPr>
      </w:pPr>
      <w:proofErr w:type="spellStart"/>
      <w:r w:rsidRPr="009A03EE">
        <w:rPr>
          <w:lang w:val="en-GB"/>
        </w:rPr>
        <w:t>Bergstrand</w:t>
      </w:r>
      <w:proofErr w:type="spellEnd"/>
      <w:r w:rsidRPr="009A03EE">
        <w:rPr>
          <w:lang w:val="en-GB"/>
        </w:rPr>
        <w:t xml:space="preserve">, Jeffrey H., Mario Larch, and Yoto V. </w:t>
      </w:r>
      <w:proofErr w:type="spellStart"/>
      <w:r w:rsidRPr="009A03EE">
        <w:rPr>
          <w:lang w:val="en-GB"/>
        </w:rPr>
        <w:t>Yotov</w:t>
      </w:r>
      <w:proofErr w:type="spellEnd"/>
      <w:r w:rsidRPr="009A03EE">
        <w:rPr>
          <w:lang w:val="en-GB"/>
        </w:rPr>
        <w:t xml:space="preserve">. 2015. “Economic Integration Agreements, Border Effects, and Distance Elasticities in the Gravity Equation.” </w:t>
      </w:r>
      <w:r w:rsidRPr="009A03EE">
        <w:rPr>
          <w:i/>
          <w:iCs/>
          <w:lang w:val="en-GB"/>
        </w:rPr>
        <w:lastRenderedPageBreak/>
        <w:t>European Economic Review</w:t>
      </w:r>
      <w:r w:rsidRPr="009A03EE">
        <w:rPr>
          <w:lang w:val="en-GB"/>
        </w:rPr>
        <w:t xml:space="preserve"> 78 (August):307–27. https://doi.org/10.1016/j.euroecorev.2015.06.003.</w:t>
      </w:r>
    </w:p>
    <w:p w14:paraId="1F30FA77" w14:textId="77777777" w:rsidR="00A7428A" w:rsidRPr="009A03EE" w:rsidRDefault="00A7428A" w:rsidP="00A7428A">
      <w:pPr>
        <w:pStyle w:val="Bibliography"/>
        <w:rPr>
          <w:lang w:val="en-GB"/>
        </w:rPr>
      </w:pPr>
      <w:proofErr w:type="spellStart"/>
      <w:r w:rsidRPr="009A03EE">
        <w:rPr>
          <w:lang w:val="en-GB"/>
        </w:rPr>
        <w:t>Chatzilazarou</w:t>
      </w:r>
      <w:proofErr w:type="spellEnd"/>
      <w:r w:rsidRPr="009A03EE">
        <w:rPr>
          <w:lang w:val="en-GB"/>
        </w:rPr>
        <w:t xml:space="preserve">, </w:t>
      </w:r>
      <w:proofErr w:type="spellStart"/>
      <w:r w:rsidRPr="009A03EE">
        <w:rPr>
          <w:lang w:val="en-GB"/>
        </w:rPr>
        <w:t>Lazaros</w:t>
      </w:r>
      <w:proofErr w:type="spellEnd"/>
      <w:r w:rsidRPr="009A03EE">
        <w:rPr>
          <w:lang w:val="en-GB"/>
        </w:rPr>
        <w:t xml:space="preserve"> </w:t>
      </w:r>
      <w:proofErr w:type="spellStart"/>
      <w:r w:rsidRPr="009A03EE">
        <w:rPr>
          <w:lang w:val="en-GB"/>
        </w:rPr>
        <w:t>Antonios</w:t>
      </w:r>
      <w:proofErr w:type="spellEnd"/>
      <w:r w:rsidRPr="009A03EE">
        <w:rPr>
          <w:lang w:val="en-GB"/>
        </w:rPr>
        <w:t xml:space="preserve">, and Dimitrios </w:t>
      </w:r>
      <w:proofErr w:type="spellStart"/>
      <w:r w:rsidRPr="009A03EE">
        <w:rPr>
          <w:lang w:val="en-GB"/>
        </w:rPr>
        <w:t>Dadakas</w:t>
      </w:r>
      <w:proofErr w:type="spellEnd"/>
      <w:r w:rsidRPr="009A03EE">
        <w:rPr>
          <w:lang w:val="en-GB"/>
        </w:rPr>
        <w:t xml:space="preserve">. 2023. “Trade Potential in European Union Manufacturing.” </w:t>
      </w:r>
      <w:r w:rsidRPr="009A03EE">
        <w:rPr>
          <w:i/>
          <w:iCs/>
          <w:lang w:val="en-GB"/>
        </w:rPr>
        <w:t>Journal of Economic Studies</w:t>
      </w:r>
      <w:r w:rsidRPr="009A03EE">
        <w:rPr>
          <w:lang w:val="en-GB"/>
        </w:rPr>
        <w:t xml:space="preserve"> 51 (5): 1144–63. https://doi.org/10.1108/JES-06-2023-0292.</w:t>
      </w:r>
    </w:p>
    <w:p w14:paraId="35057C46" w14:textId="77777777" w:rsidR="00A7428A" w:rsidRPr="009A03EE" w:rsidRDefault="00A7428A" w:rsidP="00A7428A">
      <w:pPr>
        <w:pStyle w:val="Bibliography"/>
        <w:rPr>
          <w:lang w:val="en-GB"/>
        </w:rPr>
      </w:pPr>
      <w:proofErr w:type="spellStart"/>
      <w:r w:rsidRPr="009A03EE">
        <w:rPr>
          <w:lang w:val="en-GB"/>
        </w:rPr>
        <w:t>Dahi</w:t>
      </w:r>
      <w:proofErr w:type="spellEnd"/>
      <w:r w:rsidRPr="009A03EE">
        <w:rPr>
          <w:lang w:val="en-GB"/>
        </w:rPr>
        <w:t xml:space="preserve">, Omar S., and </w:t>
      </w:r>
      <w:proofErr w:type="spellStart"/>
      <w:r w:rsidRPr="009A03EE">
        <w:rPr>
          <w:lang w:val="en-GB"/>
        </w:rPr>
        <w:t>Firat</w:t>
      </w:r>
      <w:proofErr w:type="spellEnd"/>
      <w:r w:rsidRPr="009A03EE">
        <w:rPr>
          <w:lang w:val="en-GB"/>
        </w:rPr>
        <w:t xml:space="preserve"> Demir. 2017. “South-South and North-South Economic Exchanges: Does It Matter Who Is Exchanging What and with Whom?” </w:t>
      </w:r>
      <w:r w:rsidRPr="009A03EE">
        <w:rPr>
          <w:i/>
          <w:iCs/>
          <w:lang w:val="en-GB"/>
        </w:rPr>
        <w:t>Journal of Economic Surveys</w:t>
      </w:r>
      <w:r w:rsidRPr="009A03EE">
        <w:rPr>
          <w:lang w:val="en-GB"/>
        </w:rPr>
        <w:t xml:space="preserve"> 31 (5): 1449–86. https://doi.org/10.1111/joes.12225.</w:t>
      </w:r>
    </w:p>
    <w:p w14:paraId="2E7D697D" w14:textId="77777777" w:rsidR="00A7428A" w:rsidRPr="009A03EE" w:rsidRDefault="00A7428A" w:rsidP="00A7428A">
      <w:pPr>
        <w:pStyle w:val="Bibliography"/>
        <w:rPr>
          <w:lang w:val="en-GB"/>
        </w:rPr>
      </w:pPr>
      <w:r w:rsidRPr="009A03EE">
        <w:rPr>
          <w:lang w:val="en-GB"/>
        </w:rPr>
        <w:t xml:space="preserve">Dai, Mian, Yoto V. </w:t>
      </w:r>
      <w:proofErr w:type="spellStart"/>
      <w:r w:rsidRPr="009A03EE">
        <w:rPr>
          <w:lang w:val="en-GB"/>
        </w:rPr>
        <w:t>Yotov</w:t>
      </w:r>
      <w:proofErr w:type="spellEnd"/>
      <w:r w:rsidRPr="009A03EE">
        <w:rPr>
          <w:lang w:val="en-GB"/>
        </w:rPr>
        <w:t xml:space="preserve">, and Thomas </w:t>
      </w:r>
      <w:proofErr w:type="spellStart"/>
      <w:r w:rsidRPr="009A03EE">
        <w:rPr>
          <w:lang w:val="en-GB"/>
        </w:rPr>
        <w:t>Zylkin</w:t>
      </w:r>
      <w:proofErr w:type="spellEnd"/>
      <w:r w:rsidRPr="009A03EE">
        <w:rPr>
          <w:lang w:val="en-GB"/>
        </w:rPr>
        <w:t xml:space="preserve">. 2014. “On the Trade-Diversion Effects of Free Trade Agreements.” </w:t>
      </w:r>
      <w:r w:rsidRPr="009A03EE">
        <w:rPr>
          <w:i/>
          <w:iCs/>
          <w:lang w:val="en-GB"/>
        </w:rPr>
        <w:t>Economics Letters</w:t>
      </w:r>
      <w:r w:rsidRPr="009A03EE">
        <w:rPr>
          <w:lang w:val="en-GB"/>
        </w:rPr>
        <w:t xml:space="preserve"> 122 (2): 321–25. https://doi.org/10.1016/j.econlet.2013.12.024.</w:t>
      </w:r>
    </w:p>
    <w:p w14:paraId="1C44B502" w14:textId="77777777" w:rsidR="00A7428A" w:rsidRPr="009A03EE" w:rsidRDefault="00A7428A" w:rsidP="00A7428A">
      <w:pPr>
        <w:pStyle w:val="Bibliography"/>
        <w:rPr>
          <w:lang w:val="en-GB"/>
        </w:rPr>
      </w:pPr>
      <w:proofErr w:type="spellStart"/>
      <w:r w:rsidRPr="009A03EE">
        <w:rPr>
          <w:lang w:val="en-GB"/>
        </w:rPr>
        <w:t>Dür</w:t>
      </w:r>
      <w:proofErr w:type="spellEnd"/>
      <w:r w:rsidRPr="009A03EE">
        <w:rPr>
          <w:lang w:val="en-GB"/>
        </w:rPr>
        <w:t xml:space="preserve">, Andreas, Leonardo </w:t>
      </w:r>
      <w:proofErr w:type="spellStart"/>
      <w:r w:rsidRPr="009A03EE">
        <w:rPr>
          <w:lang w:val="en-GB"/>
        </w:rPr>
        <w:t>Baccini</w:t>
      </w:r>
      <w:proofErr w:type="spellEnd"/>
      <w:r w:rsidRPr="009A03EE">
        <w:rPr>
          <w:lang w:val="en-GB"/>
        </w:rPr>
        <w:t xml:space="preserve"> and Manfred </w:t>
      </w:r>
      <w:proofErr w:type="spellStart"/>
      <w:r w:rsidRPr="009A03EE">
        <w:rPr>
          <w:lang w:val="en-GB"/>
        </w:rPr>
        <w:t>Elsig</w:t>
      </w:r>
      <w:proofErr w:type="spellEnd"/>
      <w:r w:rsidRPr="009A03EE">
        <w:rPr>
          <w:lang w:val="en-GB"/>
        </w:rPr>
        <w:t>. 2014. “The Design of International Trade Agreements: Introducing a New Database.” The Review of International Organizations. https://www.designoftradeagreements.org/downloads/.</w:t>
      </w:r>
    </w:p>
    <w:p w14:paraId="12E0C3FA" w14:textId="77777777" w:rsidR="00A7428A" w:rsidRPr="009A03EE" w:rsidRDefault="00A7428A" w:rsidP="00A7428A">
      <w:pPr>
        <w:pStyle w:val="Bibliography"/>
        <w:rPr>
          <w:lang w:val="en-GB"/>
        </w:rPr>
      </w:pPr>
      <w:r w:rsidRPr="009A03EE">
        <w:rPr>
          <w:lang w:val="en-GB"/>
        </w:rPr>
        <w:t xml:space="preserve">Heid, Benedikt, Mario Larch, and Yoto V. </w:t>
      </w:r>
      <w:proofErr w:type="spellStart"/>
      <w:r w:rsidRPr="009A03EE">
        <w:rPr>
          <w:lang w:val="en-GB"/>
        </w:rPr>
        <w:t>Yotov</w:t>
      </w:r>
      <w:proofErr w:type="spellEnd"/>
      <w:r w:rsidRPr="009A03EE">
        <w:rPr>
          <w:lang w:val="en-GB"/>
        </w:rPr>
        <w:t>. 2017. “Estimating the Effects of Non-Discriminatory Trade Policies within Structural Gravity Models.” SSRN Scholarly Paper. Rochester, NY. https://doi.org/10.2139/ssrn.3100014.</w:t>
      </w:r>
    </w:p>
    <w:p w14:paraId="53CB14C7" w14:textId="77777777" w:rsidR="00A7428A" w:rsidRPr="009A03EE" w:rsidRDefault="00A7428A" w:rsidP="00A7428A">
      <w:pPr>
        <w:pStyle w:val="Bibliography"/>
        <w:rPr>
          <w:lang w:val="en-GB"/>
        </w:rPr>
      </w:pPr>
      <w:proofErr w:type="spellStart"/>
      <w:r w:rsidRPr="009A03EE">
        <w:rPr>
          <w:lang w:val="en-GB"/>
        </w:rPr>
        <w:t>Latzer</w:t>
      </w:r>
      <w:proofErr w:type="spellEnd"/>
      <w:r w:rsidRPr="009A03EE">
        <w:rPr>
          <w:lang w:val="en-GB"/>
        </w:rPr>
        <w:t xml:space="preserve">, Hélène, and Florian </w:t>
      </w:r>
      <w:proofErr w:type="spellStart"/>
      <w:r w:rsidRPr="009A03EE">
        <w:rPr>
          <w:lang w:val="en-GB"/>
        </w:rPr>
        <w:t>Mayneris</w:t>
      </w:r>
      <w:proofErr w:type="spellEnd"/>
      <w:r w:rsidRPr="009A03EE">
        <w:rPr>
          <w:lang w:val="en-GB"/>
        </w:rPr>
        <w:t xml:space="preserve">. 2021. “Average Income, Income Inequality and Export Unit Values.” </w:t>
      </w:r>
      <w:r w:rsidRPr="009A03EE">
        <w:rPr>
          <w:i/>
          <w:iCs/>
          <w:lang w:val="en-GB"/>
        </w:rPr>
        <w:t xml:space="preserve">Journal of Economic </w:t>
      </w:r>
      <w:proofErr w:type="spellStart"/>
      <w:r w:rsidRPr="009A03EE">
        <w:rPr>
          <w:i/>
          <w:iCs/>
          <w:lang w:val="en-GB"/>
        </w:rPr>
        <w:t>Behavior</w:t>
      </w:r>
      <w:proofErr w:type="spellEnd"/>
      <w:r w:rsidRPr="009A03EE">
        <w:rPr>
          <w:i/>
          <w:iCs/>
          <w:lang w:val="en-GB"/>
        </w:rPr>
        <w:t xml:space="preserve"> &amp; Organization</w:t>
      </w:r>
      <w:r w:rsidRPr="009A03EE">
        <w:rPr>
          <w:lang w:val="en-GB"/>
        </w:rPr>
        <w:t xml:space="preserve"> 185 (May):625–46. https://doi.org/10.1016/j.jebo.2021.03.002.</w:t>
      </w:r>
    </w:p>
    <w:p w14:paraId="30E8F0A8" w14:textId="77777777" w:rsidR="00A7428A" w:rsidRPr="009A03EE" w:rsidRDefault="00A7428A" w:rsidP="00A7428A">
      <w:pPr>
        <w:pStyle w:val="Bibliography"/>
        <w:rPr>
          <w:lang w:val="en-GB"/>
        </w:rPr>
      </w:pPr>
      <w:proofErr w:type="spellStart"/>
      <w:r w:rsidRPr="009A03EE">
        <w:rPr>
          <w:lang w:val="en-GB"/>
        </w:rPr>
        <w:t>Manova</w:t>
      </w:r>
      <w:proofErr w:type="spellEnd"/>
      <w:r w:rsidRPr="009A03EE">
        <w:rPr>
          <w:lang w:val="en-GB"/>
        </w:rPr>
        <w:t xml:space="preserve">, </w:t>
      </w:r>
      <w:proofErr w:type="spellStart"/>
      <w:r w:rsidRPr="009A03EE">
        <w:rPr>
          <w:lang w:val="en-GB"/>
        </w:rPr>
        <w:t>Kalina</w:t>
      </w:r>
      <w:proofErr w:type="spellEnd"/>
      <w:r w:rsidRPr="009A03EE">
        <w:rPr>
          <w:lang w:val="en-GB"/>
        </w:rPr>
        <w:t xml:space="preserve">, and </w:t>
      </w:r>
      <w:proofErr w:type="spellStart"/>
      <w:r w:rsidRPr="009A03EE">
        <w:rPr>
          <w:lang w:val="en-GB"/>
        </w:rPr>
        <w:t>Zhiwei</w:t>
      </w:r>
      <w:proofErr w:type="spellEnd"/>
      <w:r w:rsidRPr="009A03EE">
        <w:rPr>
          <w:lang w:val="en-GB"/>
        </w:rPr>
        <w:t xml:space="preserve"> Zhang. 2012. “Export Prices Across Firms and Destinations.” </w:t>
      </w:r>
      <w:r w:rsidRPr="009A03EE">
        <w:rPr>
          <w:i/>
          <w:iCs/>
          <w:lang w:val="en-GB"/>
        </w:rPr>
        <w:t>The Quarterly Journal of Economics</w:t>
      </w:r>
      <w:r w:rsidRPr="009A03EE">
        <w:rPr>
          <w:lang w:val="en-GB"/>
        </w:rPr>
        <w:t xml:space="preserve"> 127 (1): 379–436.</w:t>
      </w:r>
    </w:p>
    <w:p w14:paraId="7365391E" w14:textId="77777777" w:rsidR="00A7428A" w:rsidRPr="009A03EE" w:rsidRDefault="00A7428A" w:rsidP="00A7428A">
      <w:pPr>
        <w:pStyle w:val="Bibliography"/>
        <w:rPr>
          <w:lang w:val="en-GB"/>
        </w:rPr>
      </w:pPr>
      <w:r w:rsidRPr="009A03EE">
        <w:rPr>
          <w:lang w:val="en-GB"/>
        </w:rPr>
        <w:t xml:space="preserve">Olivero, María </w:t>
      </w:r>
      <w:proofErr w:type="spellStart"/>
      <w:r w:rsidRPr="009A03EE">
        <w:rPr>
          <w:lang w:val="en-GB"/>
        </w:rPr>
        <w:t>Pía</w:t>
      </w:r>
      <w:proofErr w:type="spellEnd"/>
      <w:r w:rsidRPr="009A03EE">
        <w:rPr>
          <w:lang w:val="en-GB"/>
        </w:rPr>
        <w:t xml:space="preserve">, and Yoto V. </w:t>
      </w:r>
      <w:proofErr w:type="spellStart"/>
      <w:r w:rsidRPr="009A03EE">
        <w:rPr>
          <w:lang w:val="en-GB"/>
        </w:rPr>
        <w:t>Yotov</w:t>
      </w:r>
      <w:proofErr w:type="spellEnd"/>
      <w:r w:rsidRPr="009A03EE">
        <w:rPr>
          <w:lang w:val="en-GB"/>
        </w:rPr>
        <w:t xml:space="preserve">. 2012. “Dynamic Gravity: Endogenous Country Size and Asset Accumulation.” </w:t>
      </w:r>
      <w:r w:rsidRPr="009A03EE">
        <w:rPr>
          <w:i/>
          <w:iCs/>
          <w:lang w:val="en-GB"/>
        </w:rPr>
        <w:t xml:space="preserve">Canadian Journal of Economics/Revue Canadienne </w:t>
      </w:r>
      <w:proofErr w:type="spellStart"/>
      <w:r w:rsidRPr="009A03EE">
        <w:rPr>
          <w:i/>
          <w:iCs/>
          <w:lang w:val="en-GB"/>
        </w:rPr>
        <w:t>d’économique</w:t>
      </w:r>
      <w:proofErr w:type="spellEnd"/>
      <w:r w:rsidRPr="009A03EE">
        <w:rPr>
          <w:lang w:val="en-GB"/>
        </w:rPr>
        <w:t xml:space="preserve"> 45 (1): 64–92. https://doi.org/10.1111/j.1540-5982.2011.01687.x.</w:t>
      </w:r>
    </w:p>
    <w:p w14:paraId="0D4D16CF" w14:textId="77777777" w:rsidR="00A7428A" w:rsidRPr="009A03EE" w:rsidRDefault="00A7428A" w:rsidP="00A7428A">
      <w:pPr>
        <w:pStyle w:val="Bibliography"/>
        <w:rPr>
          <w:lang w:val="en-GB"/>
        </w:rPr>
      </w:pPr>
      <w:r w:rsidRPr="009A03EE">
        <w:rPr>
          <w:lang w:val="en-GB"/>
        </w:rPr>
        <w:t xml:space="preserve">Santos Silva, J. M. C., and Silvana </w:t>
      </w:r>
      <w:proofErr w:type="spellStart"/>
      <w:r w:rsidRPr="009A03EE">
        <w:rPr>
          <w:lang w:val="en-GB"/>
        </w:rPr>
        <w:t>Tenreyro</w:t>
      </w:r>
      <w:proofErr w:type="spellEnd"/>
      <w:r w:rsidRPr="009A03EE">
        <w:rPr>
          <w:lang w:val="en-GB"/>
        </w:rPr>
        <w:t xml:space="preserve">. 2011. “Further Simulation Evidence on the Performance of the Poisson Pseudo-Maximum Likelihood Estimator.” </w:t>
      </w:r>
      <w:r w:rsidRPr="009A03EE">
        <w:rPr>
          <w:i/>
          <w:iCs/>
          <w:lang w:val="en-GB"/>
        </w:rPr>
        <w:t>Economics Letters</w:t>
      </w:r>
      <w:r w:rsidRPr="009A03EE">
        <w:rPr>
          <w:lang w:val="en-GB"/>
        </w:rPr>
        <w:t xml:space="preserve"> 112 (2): 220–22. https://doi.org/10.1016/j.econlet.2011.05.008.</w:t>
      </w:r>
    </w:p>
    <w:p w14:paraId="6170ADAF" w14:textId="77777777" w:rsidR="00A7428A" w:rsidRPr="009A03EE" w:rsidRDefault="00A7428A" w:rsidP="00A7428A">
      <w:pPr>
        <w:pStyle w:val="Bibliography"/>
        <w:rPr>
          <w:lang w:val="en-GB"/>
        </w:rPr>
      </w:pPr>
      <w:r w:rsidRPr="009A03EE">
        <w:rPr>
          <w:lang w:val="en-GB"/>
        </w:rPr>
        <w:t xml:space="preserve">Silva, J. M. C. Santos, and Silvana </w:t>
      </w:r>
      <w:proofErr w:type="spellStart"/>
      <w:r w:rsidRPr="009A03EE">
        <w:rPr>
          <w:lang w:val="en-GB"/>
        </w:rPr>
        <w:t>Tenreyro</w:t>
      </w:r>
      <w:proofErr w:type="spellEnd"/>
      <w:r w:rsidRPr="009A03EE">
        <w:rPr>
          <w:lang w:val="en-GB"/>
        </w:rPr>
        <w:t xml:space="preserve">. 2006. “The Log of Gravity.” </w:t>
      </w:r>
      <w:r w:rsidRPr="009A03EE">
        <w:rPr>
          <w:i/>
          <w:iCs/>
          <w:lang w:val="en-GB"/>
        </w:rPr>
        <w:t>The Review of Economics and Statistics</w:t>
      </w:r>
      <w:r w:rsidRPr="009A03EE">
        <w:rPr>
          <w:lang w:val="en-GB"/>
        </w:rPr>
        <w:t xml:space="preserve"> 88 (4): 641–58.</w:t>
      </w:r>
    </w:p>
    <w:p w14:paraId="3AC3EC0A" w14:textId="77777777" w:rsidR="00A7428A" w:rsidRPr="009A03EE" w:rsidRDefault="00A7428A" w:rsidP="00A7428A">
      <w:pPr>
        <w:pStyle w:val="Bibliography"/>
        <w:rPr>
          <w:lang w:val="en-GB"/>
        </w:rPr>
      </w:pPr>
      <w:r w:rsidRPr="009A03EE">
        <w:rPr>
          <w:lang w:val="en-GB"/>
        </w:rPr>
        <w:t xml:space="preserve">Thierry Mayer, Gianluca </w:t>
      </w:r>
      <w:proofErr w:type="spellStart"/>
      <w:r w:rsidRPr="009A03EE">
        <w:rPr>
          <w:lang w:val="en-GB"/>
        </w:rPr>
        <w:t>Santoni</w:t>
      </w:r>
      <w:proofErr w:type="spellEnd"/>
      <w:r w:rsidRPr="009A03EE">
        <w:rPr>
          <w:lang w:val="en-GB"/>
        </w:rPr>
        <w:t xml:space="preserve">, Vincent </w:t>
      </w:r>
      <w:proofErr w:type="spellStart"/>
      <w:r w:rsidRPr="009A03EE">
        <w:rPr>
          <w:lang w:val="en-GB"/>
        </w:rPr>
        <w:t>Vicard</w:t>
      </w:r>
      <w:proofErr w:type="spellEnd"/>
      <w:r w:rsidRPr="009A03EE">
        <w:rPr>
          <w:lang w:val="en-GB"/>
        </w:rPr>
        <w:t>. 2023. “The CEPII Trade and Production Database (TradeProd).” http://www.cepii.fr/CEPII/en/bdd_modele/bdd_modele_item.asp?id=5.</w:t>
      </w:r>
    </w:p>
    <w:p w14:paraId="094310D4" w14:textId="77777777" w:rsidR="00A7428A" w:rsidRPr="009A03EE" w:rsidRDefault="00A7428A" w:rsidP="00A7428A">
      <w:pPr>
        <w:pStyle w:val="Bibliography"/>
        <w:rPr>
          <w:lang w:val="en-GB"/>
        </w:rPr>
      </w:pPr>
      <w:proofErr w:type="spellStart"/>
      <w:r w:rsidRPr="009A03EE">
        <w:rPr>
          <w:lang w:val="en-GB"/>
        </w:rPr>
        <w:t>Yotov</w:t>
      </w:r>
      <w:proofErr w:type="spellEnd"/>
      <w:r w:rsidRPr="009A03EE">
        <w:rPr>
          <w:lang w:val="en-GB"/>
        </w:rPr>
        <w:t xml:space="preserve">, Yoto V. 2012. “A Simple Solution to the Distance Puzzle in International Trade.” </w:t>
      </w:r>
      <w:r w:rsidRPr="009A03EE">
        <w:rPr>
          <w:i/>
          <w:iCs/>
          <w:lang w:val="en-GB"/>
        </w:rPr>
        <w:t>Economics Letters</w:t>
      </w:r>
      <w:r w:rsidRPr="009A03EE">
        <w:rPr>
          <w:lang w:val="en-GB"/>
        </w:rPr>
        <w:t xml:space="preserve"> 117 (3): 794–98. https://doi.org/10.1016/j.econlet.2012.08.032.</w:t>
      </w:r>
    </w:p>
    <w:p w14:paraId="6CE95CA5" w14:textId="77777777" w:rsidR="00A7428A" w:rsidRPr="009A03EE" w:rsidRDefault="00A7428A" w:rsidP="00A7428A">
      <w:pPr>
        <w:pStyle w:val="Bibliography"/>
        <w:rPr>
          <w:lang w:val="en-GB"/>
        </w:rPr>
      </w:pPr>
      <w:proofErr w:type="spellStart"/>
      <w:r w:rsidRPr="009A03EE">
        <w:rPr>
          <w:lang w:val="en-GB"/>
        </w:rPr>
        <w:t>Yotov</w:t>
      </w:r>
      <w:proofErr w:type="spellEnd"/>
      <w:r w:rsidRPr="009A03EE">
        <w:rPr>
          <w:lang w:val="en-GB"/>
        </w:rPr>
        <w:t xml:space="preserve">, Yoto V., Roberta </w:t>
      </w:r>
      <w:proofErr w:type="spellStart"/>
      <w:r w:rsidRPr="009A03EE">
        <w:rPr>
          <w:lang w:val="en-GB"/>
        </w:rPr>
        <w:t>Piermartini</w:t>
      </w:r>
      <w:proofErr w:type="spellEnd"/>
      <w:r w:rsidRPr="009A03EE">
        <w:rPr>
          <w:lang w:val="en-GB"/>
        </w:rPr>
        <w:t xml:space="preserve">, José-Antonio Monteiro, and Mario Larch. 2016. </w:t>
      </w:r>
      <w:r w:rsidRPr="009A03EE">
        <w:rPr>
          <w:i/>
          <w:iCs/>
          <w:lang w:val="en-GB"/>
        </w:rPr>
        <w:t>An Advanced Guide to Trade Policy Analysis​: The Structural Gravity Model</w:t>
      </w:r>
      <w:r w:rsidRPr="009A03EE">
        <w:rPr>
          <w:lang w:val="en-GB"/>
        </w:rPr>
        <w:t>. WTO. https://doi.org/10.30875/abc0167e-en.</w:t>
      </w:r>
    </w:p>
    <w:p w14:paraId="70C63C41" w14:textId="5CF537B0" w:rsidR="00640EC1" w:rsidRPr="009A03EE" w:rsidRDefault="00D56B41">
      <w:pPr>
        <w:rPr>
          <w:lang w:val="en-GB"/>
        </w:rPr>
      </w:pPr>
      <w:r w:rsidRPr="009A03EE">
        <w:rPr>
          <w:lang w:val="en-GB"/>
        </w:rPr>
        <w:fldChar w:fldCharType="end"/>
      </w:r>
    </w:p>
    <w:p w14:paraId="1D7AEB34" w14:textId="77777777" w:rsidR="00FF108F" w:rsidRPr="009A03EE" w:rsidRDefault="00FF108F">
      <w:pPr>
        <w:rPr>
          <w:lang w:val="en-GB"/>
        </w:rPr>
      </w:pPr>
    </w:p>
    <w:sectPr w:rsidR="00FF108F" w:rsidRPr="009A03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3E5"/>
    <w:multiLevelType w:val="multilevel"/>
    <w:tmpl w:val="3FE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418C"/>
    <w:multiLevelType w:val="hybridMultilevel"/>
    <w:tmpl w:val="10E68D62"/>
    <w:lvl w:ilvl="0" w:tplc="D8D28C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E3C1A"/>
    <w:multiLevelType w:val="multilevel"/>
    <w:tmpl w:val="E10AC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02D39"/>
    <w:multiLevelType w:val="multilevel"/>
    <w:tmpl w:val="5A3E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A7E18"/>
    <w:multiLevelType w:val="multilevel"/>
    <w:tmpl w:val="581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788027">
    <w:abstractNumId w:val="1"/>
  </w:num>
  <w:num w:numId="2" w16cid:durableId="1298100658">
    <w:abstractNumId w:val="4"/>
  </w:num>
  <w:num w:numId="3" w16cid:durableId="796992468">
    <w:abstractNumId w:val="0"/>
  </w:num>
  <w:num w:numId="4" w16cid:durableId="1983998471">
    <w:abstractNumId w:val="3"/>
  </w:num>
  <w:num w:numId="5" w16cid:durableId="58387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118FB"/>
    <w:rsid w:val="00011C50"/>
    <w:rsid w:val="00013E88"/>
    <w:rsid w:val="00016401"/>
    <w:rsid w:val="00024B9F"/>
    <w:rsid w:val="00033E50"/>
    <w:rsid w:val="0005626F"/>
    <w:rsid w:val="000634A3"/>
    <w:rsid w:val="000752F9"/>
    <w:rsid w:val="00082865"/>
    <w:rsid w:val="000837E7"/>
    <w:rsid w:val="00083E63"/>
    <w:rsid w:val="00084C74"/>
    <w:rsid w:val="00085492"/>
    <w:rsid w:val="00086EA5"/>
    <w:rsid w:val="00093BB0"/>
    <w:rsid w:val="000971F4"/>
    <w:rsid w:val="000A22CD"/>
    <w:rsid w:val="000A437A"/>
    <w:rsid w:val="000A4BE9"/>
    <w:rsid w:val="000B37DA"/>
    <w:rsid w:val="000B5AB2"/>
    <w:rsid w:val="000C24FA"/>
    <w:rsid w:val="000C50B4"/>
    <w:rsid w:val="000C58D0"/>
    <w:rsid w:val="000D54EF"/>
    <w:rsid w:val="000E4E1A"/>
    <w:rsid w:val="000F5C38"/>
    <w:rsid w:val="000F6E05"/>
    <w:rsid w:val="001006D2"/>
    <w:rsid w:val="00101417"/>
    <w:rsid w:val="00101FD2"/>
    <w:rsid w:val="00102A36"/>
    <w:rsid w:val="001166F0"/>
    <w:rsid w:val="00121DF0"/>
    <w:rsid w:val="00134997"/>
    <w:rsid w:val="001426EA"/>
    <w:rsid w:val="00152A59"/>
    <w:rsid w:val="00157031"/>
    <w:rsid w:val="001578B9"/>
    <w:rsid w:val="00163F8B"/>
    <w:rsid w:val="00165605"/>
    <w:rsid w:val="00180CEA"/>
    <w:rsid w:val="00182E41"/>
    <w:rsid w:val="001836B3"/>
    <w:rsid w:val="00183F9F"/>
    <w:rsid w:val="00186159"/>
    <w:rsid w:val="00186304"/>
    <w:rsid w:val="001A4E37"/>
    <w:rsid w:val="001B22EE"/>
    <w:rsid w:val="001C0691"/>
    <w:rsid w:val="001C4288"/>
    <w:rsid w:val="001C443A"/>
    <w:rsid w:val="001D46E8"/>
    <w:rsid w:val="001E6280"/>
    <w:rsid w:val="001F2D4C"/>
    <w:rsid w:val="001F34A5"/>
    <w:rsid w:val="0020249A"/>
    <w:rsid w:val="002039D5"/>
    <w:rsid w:val="0020724D"/>
    <w:rsid w:val="002112C8"/>
    <w:rsid w:val="00213A3C"/>
    <w:rsid w:val="002147F3"/>
    <w:rsid w:val="00220B7B"/>
    <w:rsid w:val="00230FA1"/>
    <w:rsid w:val="00233A0B"/>
    <w:rsid w:val="002353E3"/>
    <w:rsid w:val="00237EFD"/>
    <w:rsid w:val="00256746"/>
    <w:rsid w:val="002640E0"/>
    <w:rsid w:val="002663E9"/>
    <w:rsid w:val="002853EA"/>
    <w:rsid w:val="00293A6F"/>
    <w:rsid w:val="002A192D"/>
    <w:rsid w:val="002A56A4"/>
    <w:rsid w:val="002B753D"/>
    <w:rsid w:val="002B77F1"/>
    <w:rsid w:val="002D0697"/>
    <w:rsid w:val="002D36B6"/>
    <w:rsid w:val="002D3E01"/>
    <w:rsid w:val="002E2BBE"/>
    <w:rsid w:val="002E70BD"/>
    <w:rsid w:val="002F1DED"/>
    <w:rsid w:val="002F4301"/>
    <w:rsid w:val="003008B9"/>
    <w:rsid w:val="003041B4"/>
    <w:rsid w:val="003175D4"/>
    <w:rsid w:val="00325959"/>
    <w:rsid w:val="003268E4"/>
    <w:rsid w:val="003321AD"/>
    <w:rsid w:val="0033656E"/>
    <w:rsid w:val="0035751F"/>
    <w:rsid w:val="003646F7"/>
    <w:rsid w:val="00371B24"/>
    <w:rsid w:val="003765FB"/>
    <w:rsid w:val="003815C7"/>
    <w:rsid w:val="003817BB"/>
    <w:rsid w:val="00383750"/>
    <w:rsid w:val="00386A8D"/>
    <w:rsid w:val="00390CDA"/>
    <w:rsid w:val="003A0806"/>
    <w:rsid w:val="003A3CBC"/>
    <w:rsid w:val="003A4FAA"/>
    <w:rsid w:val="003A70EE"/>
    <w:rsid w:val="003B2D50"/>
    <w:rsid w:val="003C2CD6"/>
    <w:rsid w:val="003C7E4C"/>
    <w:rsid w:val="003D0AD0"/>
    <w:rsid w:val="003D712F"/>
    <w:rsid w:val="003E43D3"/>
    <w:rsid w:val="003E5261"/>
    <w:rsid w:val="003E7A5A"/>
    <w:rsid w:val="003F14F5"/>
    <w:rsid w:val="003F1698"/>
    <w:rsid w:val="003F4803"/>
    <w:rsid w:val="00400909"/>
    <w:rsid w:val="00402564"/>
    <w:rsid w:val="004062E4"/>
    <w:rsid w:val="00407D2F"/>
    <w:rsid w:val="0041214D"/>
    <w:rsid w:val="00427906"/>
    <w:rsid w:val="00432E74"/>
    <w:rsid w:val="00437113"/>
    <w:rsid w:val="00445549"/>
    <w:rsid w:val="00451C52"/>
    <w:rsid w:val="004522B1"/>
    <w:rsid w:val="004650A6"/>
    <w:rsid w:val="004728C3"/>
    <w:rsid w:val="004738DD"/>
    <w:rsid w:val="004746D6"/>
    <w:rsid w:val="00477578"/>
    <w:rsid w:val="00484B47"/>
    <w:rsid w:val="00491551"/>
    <w:rsid w:val="004C340C"/>
    <w:rsid w:val="004C461E"/>
    <w:rsid w:val="004D2834"/>
    <w:rsid w:val="004E3142"/>
    <w:rsid w:val="004E3FE9"/>
    <w:rsid w:val="004E728C"/>
    <w:rsid w:val="004F10E0"/>
    <w:rsid w:val="00500EC1"/>
    <w:rsid w:val="00501E29"/>
    <w:rsid w:val="00503287"/>
    <w:rsid w:val="00503AC7"/>
    <w:rsid w:val="00506386"/>
    <w:rsid w:val="00514330"/>
    <w:rsid w:val="0051576E"/>
    <w:rsid w:val="0052774A"/>
    <w:rsid w:val="0053271C"/>
    <w:rsid w:val="00537611"/>
    <w:rsid w:val="00541393"/>
    <w:rsid w:val="005451D1"/>
    <w:rsid w:val="0055147D"/>
    <w:rsid w:val="0055310D"/>
    <w:rsid w:val="00554F99"/>
    <w:rsid w:val="00562963"/>
    <w:rsid w:val="00573624"/>
    <w:rsid w:val="00580735"/>
    <w:rsid w:val="0059014C"/>
    <w:rsid w:val="00592A5D"/>
    <w:rsid w:val="00595013"/>
    <w:rsid w:val="005A55C7"/>
    <w:rsid w:val="005B2CC7"/>
    <w:rsid w:val="005B5297"/>
    <w:rsid w:val="005C5F3D"/>
    <w:rsid w:val="005D44E3"/>
    <w:rsid w:val="005E0AC7"/>
    <w:rsid w:val="005E17E5"/>
    <w:rsid w:val="005F519F"/>
    <w:rsid w:val="0060459C"/>
    <w:rsid w:val="00604A21"/>
    <w:rsid w:val="006120B3"/>
    <w:rsid w:val="00614849"/>
    <w:rsid w:val="006152CA"/>
    <w:rsid w:val="00622ED8"/>
    <w:rsid w:val="00625AE8"/>
    <w:rsid w:val="00626A05"/>
    <w:rsid w:val="0062725E"/>
    <w:rsid w:val="006311BC"/>
    <w:rsid w:val="00640E04"/>
    <w:rsid w:val="00640EC1"/>
    <w:rsid w:val="006544E4"/>
    <w:rsid w:val="00656F4C"/>
    <w:rsid w:val="00660712"/>
    <w:rsid w:val="00662CB3"/>
    <w:rsid w:val="00666A14"/>
    <w:rsid w:val="00666CD8"/>
    <w:rsid w:val="006769FC"/>
    <w:rsid w:val="006831F3"/>
    <w:rsid w:val="0068389C"/>
    <w:rsid w:val="00684BB4"/>
    <w:rsid w:val="00694491"/>
    <w:rsid w:val="00694B36"/>
    <w:rsid w:val="0069526D"/>
    <w:rsid w:val="006958E0"/>
    <w:rsid w:val="006A3929"/>
    <w:rsid w:val="006B5BD6"/>
    <w:rsid w:val="006E4B3D"/>
    <w:rsid w:val="00702515"/>
    <w:rsid w:val="007129AC"/>
    <w:rsid w:val="00722A02"/>
    <w:rsid w:val="0072636F"/>
    <w:rsid w:val="00736123"/>
    <w:rsid w:val="0074445A"/>
    <w:rsid w:val="0074698D"/>
    <w:rsid w:val="0075669E"/>
    <w:rsid w:val="0075745E"/>
    <w:rsid w:val="00760A18"/>
    <w:rsid w:val="007613E4"/>
    <w:rsid w:val="00765F22"/>
    <w:rsid w:val="00773F75"/>
    <w:rsid w:val="00786687"/>
    <w:rsid w:val="007912CD"/>
    <w:rsid w:val="007920E8"/>
    <w:rsid w:val="007952DD"/>
    <w:rsid w:val="007A3426"/>
    <w:rsid w:val="007A3863"/>
    <w:rsid w:val="007C2FA4"/>
    <w:rsid w:val="007C65C1"/>
    <w:rsid w:val="007C76EA"/>
    <w:rsid w:val="007D7B2B"/>
    <w:rsid w:val="008054D1"/>
    <w:rsid w:val="00805835"/>
    <w:rsid w:val="00806204"/>
    <w:rsid w:val="00810C3C"/>
    <w:rsid w:val="00811324"/>
    <w:rsid w:val="00811B21"/>
    <w:rsid w:val="00822437"/>
    <w:rsid w:val="0082553E"/>
    <w:rsid w:val="00827432"/>
    <w:rsid w:val="00843359"/>
    <w:rsid w:val="008466E4"/>
    <w:rsid w:val="00853B30"/>
    <w:rsid w:val="00860CCE"/>
    <w:rsid w:val="00866989"/>
    <w:rsid w:val="008714EC"/>
    <w:rsid w:val="00871905"/>
    <w:rsid w:val="00873F4B"/>
    <w:rsid w:val="00875D87"/>
    <w:rsid w:val="0088160C"/>
    <w:rsid w:val="00882031"/>
    <w:rsid w:val="00885178"/>
    <w:rsid w:val="00886B01"/>
    <w:rsid w:val="00891DED"/>
    <w:rsid w:val="00895E61"/>
    <w:rsid w:val="008A3536"/>
    <w:rsid w:val="008A77C8"/>
    <w:rsid w:val="008B0C99"/>
    <w:rsid w:val="008B256E"/>
    <w:rsid w:val="008B35B9"/>
    <w:rsid w:val="008B77D0"/>
    <w:rsid w:val="008C2AC1"/>
    <w:rsid w:val="008C3834"/>
    <w:rsid w:val="008E0DB6"/>
    <w:rsid w:val="008F0CBA"/>
    <w:rsid w:val="009209B3"/>
    <w:rsid w:val="00923529"/>
    <w:rsid w:val="009272E6"/>
    <w:rsid w:val="0093480F"/>
    <w:rsid w:val="0094481A"/>
    <w:rsid w:val="00945DA6"/>
    <w:rsid w:val="00953D4B"/>
    <w:rsid w:val="009560BE"/>
    <w:rsid w:val="0095715A"/>
    <w:rsid w:val="00963DC3"/>
    <w:rsid w:val="00965ED5"/>
    <w:rsid w:val="00966F54"/>
    <w:rsid w:val="00981D4A"/>
    <w:rsid w:val="00983318"/>
    <w:rsid w:val="0099667A"/>
    <w:rsid w:val="009A03EE"/>
    <w:rsid w:val="009A2535"/>
    <w:rsid w:val="009A2BF6"/>
    <w:rsid w:val="009C16CE"/>
    <w:rsid w:val="009C51CD"/>
    <w:rsid w:val="009E1268"/>
    <w:rsid w:val="00A00694"/>
    <w:rsid w:val="00A10D76"/>
    <w:rsid w:val="00A1741F"/>
    <w:rsid w:val="00A20878"/>
    <w:rsid w:val="00A278A1"/>
    <w:rsid w:val="00A33446"/>
    <w:rsid w:val="00A357D4"/>
    <w:rsid w:val="00A35BD5"/>
    <w:rsid w:val="00A37DDA"/>
    <w:rsid w:val="00A42C99"/>
    <w:rsid w:val="00A5053B"/>
    <w:rsid w:val="00A505EC"/>
    <w:rsid w:val="00A50D8D"/>
    <w:rsid w:val="00A54672"/>
    <w:rsid w:val="00A62DAE"/>
    <w:rsid w:val="00A668A6"/>
    <w:rsid w:val="00A6743F"/>
    <w:rsid w:val="00A7428A"/>
    <w:rsid w:val="00A8005A"/>
    <w:rsid w:val="00A81289"/>
    <w:rsid w:val="00A83628"/>
    <w:rsid w:val="00A842A9"/>
    <w:rsid w:val="00A93377"/>
    <w:rsid w:val="00A947D3"/>
    <w:rsid w:val="00A95D45"/>
    <w:rsid w:val="00AA4E29"/>
    <w:rsid w:val="00AB0C90"/>
    <w:rsid w:val="00AC40FF"/>
    <w:rsid w:val="00AC7D93"/>
    <w:rsid w:val="00AD2A82"/>
    <w:rsid w:val="00AD79AB"/>
    <w:rsid w:val="00AE0BAF"/>
    <w:rsid w:val="00AE23B2"/>
    <w:rsid w:val="00AE4C3B"/>
    <w:rsid w:val="00AE5DE2"/>
    <w:rsid w:val="00B00AAD"/>
    <w:rsid w:val="00B027A8"/>
    <w:rsid w:val="00B0714A"/>
    <w:rsid w:val="00B07293"/>
    <w:rsid w:val="00B1431E"/>
    <w:rsid w:val="00B2374D"/>
    <w:rsid w:val="00B2792C"/>
    <w:rsid w:val="00B3601A"/>
    <w:rsid w:val="00B37490"/>
    <w:rsid w:val="00B4097C"/>
    <w:rsid w:val="00B45C2C"/>
    <w:rsid w:val="00B55DB8"/>
    <w:rsid w:val="00B60210"/>
    <w:rsid w:val="00B63EDF"/>
    <w:rsid w:val="00B64566"/>
    <w:rsid w:val="00B718FF"/>
    <w:rsid w:val="00BA7398"/>
    <w:rsid w:val="00BC3389"/>
    <w:rsid w:val="00BD2B7C"/>
    <w:rsid w:val="00BE2205"/>
    <w:rsid w:val="00BE297A"/>
    <w:rsid w:val="00C01CB4"/>
    <w:rsid w:val="00C020C7"/>
    <w:rsid w:val="00C04742"/>
    <w:rsid w:val="00C06C04"/>
    <w:rsid w:val="00C14216"/>
    <w:rsid w:val="00C22018"/>
    <w:rsid w:val="00C32C4C"/>
    <w:rsid w:val="00C37667"/>
    <w:rsid w:val="00C539D6"/>
    <w:rsid w:val="00C62DBD"/>
    <w:rsid w:val="00C74655"/>
    <w:rsid w:val="00C751E5"/>
    <w:rsid w:val="00C76F58"/>
    <w:rsid w:val="00C8225A"/>
    <w:rsid w:val="00C9005A"/>
    <w:rsid w:val="00C95CE0"/>
    <w:rsid w:val="00C97E5F"/>
    <w:rsid w:val="00CA0994"/>
    <w:rsid w:val="00CB0677"/>
    <w:rsid w:val="00CD1A2B"/>
    <w:rsid w:val="00CD5ACF"/>
    <w:rsid w:val="00CE3D5A"/>
    <w:rsid w:val="00CF15A8"/>
    <w:rsid w:val="00CF2E4A"/>
    <w:rsid w:val="00CF33D8"/>
    <w:rsid w:val="00D0052C"/>
    <w:rsid w:val="00D01714"/>
    <w:rsid w:val="00D03ED3"/>
    <w:rsid w:val="00D05049"/>
    <w:rsid w:val="00D12F79"/>
    <w:rsid w:val="00D24A03"/>
    <w:rsid w:val="00D35101"/>
    <w:rsid w:val="00D4015C"/>
    <w:rsid w:val="00D47AEA"/>
    <w:rsid w:val="00D55F8D"/>
    <w:rsid w:val="00D56436"/>
    <w:rsid w:val="00D56B41"/>
    <w:rsid w:val="00D612AF"/>
    <w:rsid w:val="00D72F22"/>
    <w:rsid w:val="00D86F77"/>
    <w:rsid w:val="00DA406D"/>
    <w:rsid w:val="00DB1070"/>
    <w:rsid w:val="00DC6368"/>
    <w:rsid w:val="00DD67CD"/>
    <w:rsid w:val="00DF3FEB"/>
    <w:rsid w:val="00DF455C"/>
    <w:rsid w:val="00DF568D"/>
    <w:rsid w:val="00E00686"/>
    <w:rsid w:val="00E02217"/>
    <w:rsid w:val="00E02B18"/>
    <w:rsid w:val="00E050F3"/>
    <w:rsid w:val="00E128B6"/>
    <w:rsid w:val="00E15926"/>
    <w:rsid w:val="00E20014"/>
    <w:rsid w:val="00E20675"/>
    <w:rsid w:val="00E25819"/>
    <w:rsid w:val="00E371D6"/>
    <w:rsid w:val="00E40845"/>
    <w:rsid w:val="00E45701"/>
    <w:rsid w:val="00E5671D"/>
    <w:rsid w:val="00E57218"/>
    <w:rsid w:val="00E6088F"/>
    <w:rsid w:val="00E6405E"/>
    <w:rsid w:val="00E64500"/>
    <w:rsid w:val="00E86B22"/>
    <w:rsid w:val="00E86DE8"/>
    <w:rsid w:val="00E87279"/>
    <w:rsid w:val="00E92DB0"/>
    <w:rsid w:val="00E93729"/>
    <w:rsid w:val="00E938B6"/>
    <w:rsid w:val="00E96453"/>
    <w:rsid w:val="00EA0936"/>
    <w:rsid w:val="00EB39A1"/>
    <w:rsid w:val="00EB53D5"/>
    <w:rsid w:val="00EC24B6"/>
    <w:rsid w:val="00EC5DBA"/>
    <w:rsid w:val="00EC6D1A"/>
    <w:rsid w:val="00ED2A7A"/>
    <w:rsid w:val="00ED6FC5"/>
    <w:rsid w:val="00EF58DA"/>
    <w:rsid w:val="00F02390"/>
    <w:rsid w:val="00F05461"/>
    <w:rsid w:val="00F066AC"/>
    <w:rsid w:val="00F076D0"/>
    <w:rsid w:val="00F1241C"/>
    <w:rsid w:val="00F16B8B"/>
    <w:rsid w:val="00F16D1E"/>
    <w:rsid w:val="00F257B2"/>
    <w:rsid w:val="00F362E8"/>
    <w:rsid w:val="00F409BE"/>
    <w:rsid w:val="00F4274E"/>
    <w:rsid w:val="00F55050"/>
    <w:rsid w:val="00F55329"/>
    <w:rsid w:val="00F557F3"/>
    <w:rsid w:val="00F61EF8"/>
    <w:rsid w:val="00F65E10"/>
    <w:rsid w:val="00F73E52"/>
    <w:rsid w:val="00F90AA4"/>
    <w:rsid w:val="00F91894"/>
    <w:rsid w:val="00FA4287"/>
    <w:rsid w:val="00FB1FA8"/>
    <w:rsid w:val="00FB2673"/>
    <w:rsid w:val="00FD47DA"/>
    <w:rsid w:val="00FF108F"/>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DC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640EC1"/>
    <w:pPr>
      <w:ind w:left="720" w:hanging="720"/>
    </w:pPr>
  </w:style>
  <w:style w:type="character" w:styleId="CommentReference">
    <w:name w:val="annotation reference"/>
    <w:basedOn w:val="DefaultParagraphFont"/>
    <w:uiPriority w:val="99"/>
    <w:semiHidden/>
    <w:unhideWhenUsed/>
    <w:rsid w:val="00AE23B2"/>
    <w:rPr>
      <w:sz w:val="16"/>
      <w:szCs w:val="16"/>
    </w:rPr>
  </w:style>
  <w:style w:type="paragraph" w:styleId="CommentText">
    <w:name w:val="annotation text"/>
    <w:basedOn w:val="Normal"/>
    <w:link w:val="CommentTextChar"/>
    <w:uiPriority w:val="99"/>
    <w:semiHidden/>
    <w:unhideWhenUsed/>
    <w:rsid w:val="00AE23B2"/>
    <w:rPr>
      <w:sz w:val="20"/>
      <w:szCs w:val="20"/>
    </w:rPr>
  </w:style>
  <w:style w:type="character" w:customStyle="1" w:styleId="CommentTextChar">
    <w:name w:val="Comment Text Char"/>
    <w:basedOn w:val="DefaultParagraphFont"/>
    <w:link w:val="CommentText"/>
    <w:uiPriority w:val="99"/>
    <w:semiHidden/>
    <w:rsid w:val="00AE23B2"/>
    <w:rPr>
      <w:sz w:val="20"/>
      <w:szCs w:val="20"/>
    </w:rPr>
  </w:style>
  <w:style w:type="paragraph" w:styleId="CommentSubject">
    <w:name w:val="annotation subject"/>
    <w:basedOn w:val="CommentText"/>
    <w:next w:val="CommentText"/>
    <w:link w:val="CommentSubjectChar"/>
    <w:uiPriority w:val="99"/>
    <w:semiHidden/>
    <w:unhideWhenUsed/>
    <w:rsid w:val="00AE23B2"/>
    <w:rPr>
      <w:b/>
      <w:bCs/>
    </w:rPr>
  </w:style>
  <w:style w:type="character" w:customStyle="1" w:styleId="CommentSubjectChar">
    <w:name w:val="Comment Subject Char"/>
    <w:basedOn w:val="CommentTextChar"/>
    <w:link w:val="CommentSubject"/>
    <w:uiPriority w:val="99"/>
    <w:semiHidden/>
    <w:rsid w:val="00AE23B2"/>
    <w:rPr>
      <w:b/>
      <w:bCs/>
      <w:sz w:val="20"/>
      <w:szCs w:val="20"/>
    </w:rPr>
  </w:style>
  <w:style w:type="character" w:styleId="PlaceholderText">
    <w:name w:val="Placeholder Text"/>
    <w:basedOn w:val="DefaultParagraphFont"/>
    <w:uiPriority w:val="99"/>
    <w:semiHidden/>
    <w:rsid w:val="003D0AD0"/>
    <w:rPr>
      <w:color w:val="666666"/>
    </w:rPr>
  </w:style>
  <w:style w:type="paragraph" w:styleId="NormalWeb">
    <w:name w:val="Normal (Web)"/>
    <w:basedOn w:val="Normal"/>
    <w:uiPriority w:val="99"/>
    <w:unhideWhenUsed/>
    <w:rsid w:val="000837E7"/>
    <w:pPr>
      <w:spacing w:before="100" w:beforeAutospacing="1" w:after="100" w:afterAutospacing="1"/>
    </w:pPr>
  </w:style>
  <w:style w:type="character" w:customStyle="1" w:styleId="mord">
    <w:name w:val="mord"/>
    <w:basedOn w:val="DefaultParagraphFont"/>
    <w:rsid w:val="008C3834"/>
  </w:style>
  <w:style w:type="character" w:customStyle="1" w:styleId="mpunct">
    <w:name w:val="mpunct"/>
    <w:basedOn w:val="DefaultParagraphFont"/>
    <w:rsid w:val="008C3834"/>
  </w:style>
  <w:style w:type="character" w:customStyle="1" w:styleId="vlist-s">
    <w:name w:val="vlist-s"/>
    <w:basedOn w:val="DefaultParagraphFont"/>
    <w:rsid w:val="008C3834"/>
  </w:style>
  <w:style w:type="character" w:customStyle="1" w:styleId="mrel">
    <w:name w:val="mrel"/>
    <w:basedOn w:val="DefaultParagraphFont"/>
    <w:rsid w:val="008C3834"/>
  </w:style>
  <w:style w:type="character" w:customStyle="1" w:styleId="mop">
    <w:name w:val="mop"/>
    <w:basedOn w:val="DefaultParagraphFont"/>
    <w:rsid w:val="008C3834"/>
  </w:style>
  <w:style w:type="character" w:customStyle="1" w:styleId="delimsizing">
    <w:name w:val="delimsizing"/>
    <w:basedOn w:val="DefaultParagraphFont"/>
    <w:rsid w:val="008C3834"/>
  </w:style>
  <w:style w:type="character" w:customStyle="1" w:styleId="mbin">
    <w:name w:val="mbin"/>
    <w:basedOn w:val="DefaultParagraphFont"/>
    <w:rsid w:val="008C3834"/>
  </w:style>
  <w:style w:type="character" w:customStyle="1" w:styleId="katex-mathml">
    <w:name w:val="katex-mathml"/>
    <w:basedOn w:val="DefaultParagraphFont"/>
    <w:rsid w:val="00626A05"/>
  </w:style>
  <w:style w:type="character" w:customStyle="1" w:styleId="mopen">
    <w:name w:val="mopen"/>
    <w:basedOn w:val="DefaultParagraphFont"/>
    <w:rsid w:val="00626A05"/>
  </w:style>
  <w:style w:type="character" w:customStyle="1" w:styleId="mclose">
    <w:name w:val="mclose"/>
    <w:basedOn w:val="DefaultParagraphFont"/>
    <w:rsid w:val="00626A05"/>
  </w:style>
  <w:style w:type="character" w:customStyle="1" w:styleId="mspace">
    <w:name w:val="mspace"/>
    <w:basedOn w:val="DefaultParagraphFont"/>
    <w:rsid w:val="00626A05"/>
  </w:style>
  <w:style w:type="character" w:styleId="Strong">
    <w:name w:val="Strong"/>
    <w:basedOn w:val="DefaultParagraphFont"/>
    <w:uiPriority w:val="22"/>
    <w:qFormat/>
    <w:rsid w:val="00626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00842">
      <w:bodyDiv w:val="1"/>
      <w:marLeft w:val="0"/>
      <w:marRight w:val="0"/>
      <w:marTop w:val="0"/>
      <w:marBottom w:val="0"/>
      <w:divBdr>
        <w:top w:val="none" w:sz="0" w:space="0" w:color="auto"/>
        <w:left w:val="none" w:sz="0" w:space="0" w:color="auto"/>
        <w:bottom w:val="none" w:sz="0" w:space="0" w:color="auto"/>
        <w:right w:val="none" w:sz="0" w:space="0" w:color="auto"/>
      </w:divBdr>
      <w:divsChild>
        <w:div w:id="1633100722">
          <w:marLeft w:val="0"/>
          <w:marRight w:val="0"/>
          <w:marTop w:val="0"/>
          <w:marBottom w:val="0"/>
          <w:divBdr>
            <w:top w:val="none" w:sz="0" w:space="0" w:color="auto"/>
            <w:left w:val="none" w:sz="0" w:space="0" w:color="auto"/>
            <w:bottom w:val="none" w:sz="0" w:space="0" w:color="auto"/>
            <w:right w:val="none" w:sz="0" w:space="0" w:color="auto"/>
          </w:divBdr>
          <w:divsChild>
            <w:div w:id="377125098">
              <w:marLeft w:val="0"/>
              <w:marRight w:val="0"/>
              <w:marTop w:val="0"/>
              <w:marBottom w:val="0"/>
              <w:divBdr>
                <w:top w:val="none" w:sz="0" w:space="0" w:color="auto"/>
                <w:left w:val="none" w:sz="0" w:space="0" w:color="auto"/>
                <w:bottom w:val="none" w:sz="0" w:space="0" w:color="auto"/>
                <w:right w:val="none" w:sz="0" w:space="0" w:color="auto"/>
              </w:divBdr>
              <w:divsChild>
                <w:div w:id="16901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1719">
      <w:bodyDiv w:val="1"/>
      <w:marLeft w:val="0"/>
      <w:marRight w:val="0"/>
      <w:marTop w:val="0"/>
      <w:marBottom w:val="0"/>
      <w:divBdr>
        <w:top w:val="none" w:sz="0" w:space="0" w:color="auto"/>
        <w:left w:val="none" w:sz="0" w:space="0" w:color="auto"/>
        <w:bottom w:val="none" w:sz="0" w:space="0" w:color="auto"/>
        <w:right w:val="none" w:sz="0" w:space="0" w:color="auto"/>
      </w:divBdr>
    </w:div>
    <w:div w:id="485434039">
      <w:bodyDiv w:val="1"/>
      <w:marLeft w:val="0"/>
      <w:marRight w:val="0"/>
      <w:marTop w:val="0"/>
      <w:marBottom w:val="0"/>
      <w:divBdr>
        <w:top w:val="none" w:sz="0" w:space="0" w:color="auto"/>
        <w:left w:val="none" w:sz="0" w:space="0" w:color="auto"/>
        <w:bottom w:val="none" w:sz="0" w:space="0" w:color="auto"/>
        <w:right w:val="none" w:sz="0" w:space="0" w:color="auto"/>
      </w:divBdr>
      <w:divsChild>
        <w:div w:id="1275673441">
          <w:marLeft w:val="0"/>
          <w:marRight w:val="0"/>
          <w:marTop w:val="0"/>
          <w:marBottom w:val="0"/>
          <w:divBdr>
            <w:top w:val="none" w:sz="0" w:space="0" w:color="auto"/>
            <w:left w:val="none" w:sz="0" w:space="0" w:color="auto"/>
            <w:bottom w:val="none" w:sz="0" w:space="0" w:color="auto"/>
            <w:right w:val="none" w:sz="0" w:space="0" w:color="auto"/>
          </w:divBdr>
          <w:divsChild>
            <w:div w:id="1581325423">
              <w:marLeft w:val="0"/>
              <w:marRight w:val="0"/>
              <w:marTop w:val="0"/>
              <w:marBottom w:val="0"/>
              <w:divBdr>
                <w:top w:val="none" w:sz="0" w:space="0" w:color="auto"/>
                <w:left w:val="none" w:sz="0" w:space="0" w:color="auto"/>
                <w:bottom w:val="none" w:sz="0" w:space="0" w:color="auto"/>
                <w:right w:val="none" w:sz="0" w:space="0" w:color="auto"/>
              </w:divBdr>
              <w:divsChild>
                <w:div w:id="1558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7249">
      <w:bodyDiv w:val="1"/>
      <w:marLeft w:val="0"/>
      <w:marRight w:val="0"/>
      <w:marTop w:val="0"/>
      <w:marBottom w:val="0"/>
      <w:divBdr>
        <w:top w:val="none" w:sz="0" w:space="0" w:color="auto"/>
        <w:left w:val="none" w:sz="0" w:space="0" w:color="auto"/>
        <w:bottom w:val="none" w:sz="0" w:space="0" w:color="auto"/>
        <w:right w:val="none" w:sz="0" w:space="0" w:color="auto"/>
      </w:divBdr>
      <w:divsChild>
        <w:div w:id="465123700">
          <w:marLeft w:val="0"/>
          <w:marRight w:val="0"/>
          <w:marTop w:val="0"/>
          <w:marBottom w:val="0"/>
          <w:divBdr>
            <w:top w:val="none" w:sz="0" w:space="0" w:color="auto"/>
            <w:left w:val="none" w:sz="0" w:space="0" w:color="auto"/>
            <w:bottom w:val="none" w:sz="0" w:space="0" w:color="auto"/>
            <w:right w:val="none" w:sz="0" w:space="0" w:color="auto"/>
          </w:divBdr>
          <w:divsChild>
            <w:div w:id="945118322">
              <w:marLeft w:val="0"/>
              <w:marRight w:val="0"/>
              <w:marTop w:val="0"/>
              <w:marBottom w:val="0"/>
              <w:divBdr>
                <w:top w:val="none" w:sz="0" w:space="0" w:color="auto"/>
                <w:left w:val="none" w:sz="0" w:space="0" w:color="auto"/>
                <w:bottom w:val="none" w:sz="0" w:space="0" w:color="auto"/>
                <w:right w:val="none" w:sz="0" w:space="0" w:color="auto"/>
              </w:divBdr>
              <w:divsChild>
                <w:div w:id="4792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6297">
      <w:bodyDiv w:val="1"/>
      <w:marLeft w:val="0"/>
      <w:marRight w:val="0"/>
      <w:marTop w:val="0"/>
      <w:marBottom w:val="0"/>
      <w:divBdr>
        <w:top w:val="none" w:sz="0" w:space="0" w:color="auto"/>
        <w:left w:val="none" w:sz="0" w:space="0" w:color="auto"/>
        <w:bottom w:val="none" w:sz="0" w:space="0" w:color="auto"/>
        <w:right w:val="none" w:sz="0" w:space="0" w:color="auto"/>
      </w:divBdr>
    </w:div>
    <w:div w:id="897546314">
      <w:bodyDiv w:val="1"/>
      <w:marLeft w:val="0"/>
      <w:marRight w:val="0"/>
      <w:marTop w:val="0"/>
      <w:marBottom w:val="0"/>
      <w:divBdr>
        <w:top w:val="none" w:sz="0" w:space="0" w:color="auto"/>
        <w:left w:val="none" w:sz="0" w:space="0" w:color="auto"/>
        <w:bottom w:val="none" w:sz="0" w:space="0" w:color="auto"/>
        <w:right w:val="none" w:sz="0" w:space="0" w:color="auto"/>
      </w:divBdr>
      <w:divsChild>
        <w:div w:id="609319315">
          <w:marLeft w:val="0"/>
          <w:marRight w:val="0"/>
          <w:marTop w:val="0"/>
          <w:marBottom w:val="0"/>
          <w:divBdr>
            <w:top w:val="none" w:sz="0" w:space="0" w:color="auto"/>
            <w:left w:val="none" w:sz="0" w:space="0" w:color="auto"/>
            <w:bottom w:val="none" w:sz="0" w:space="0" w:color="auto"/>
            <w:right w:val="none" w:sz="0" w:space="0" w:color="auto"/>
          </w:divBdr>
          <w:divsChild>
            <w:div w:id="1402093553">
              <w:marLeft w:val="0"/>
              <w:marRight w:val="0"/>
              <w:marTop w:val="0"/>
              <w:marBottom w:val="0"/>
              <w:divBdr>
                <w:top w:val="none" w:sz="0" w:space="0" w:color="auto"/>
                <w:left w:val="none" w:sz="0" w:space="0" w:color="auto"/>
                <w:bottom w:val="none" w:sz="0" w:space="0" w:color="auto"/>
                <w:right w:val="none" w:sz="0" w:space="0" w:color="auto"/>
              </w:divBdr>
              <w:divsChild>
                <w:div w:id="17534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32316">
      <w:bodyDiv w:val="1"/>
      <w:marLeft w:val="0"/>
      <w:marRight w:val="0"/>
      <w:marTop w:val="0"/>
      <w:marBottom w:val="0"/>
      <w:divBdr>
        <w:top w:val="none" w:sz="0" w:space="0" w:color="auto"/>
        <w:left w:val="none" w:sz="0" w:space="0" w:color="auto"/>
        <w:bottom w:val="none" w:sz="0" w:space="0" w:color="auto"/>
        <w:right w:val="none" w:sz="0" w:space="0" w:color="auto"/>
      </w:divBdr>
      <w:divsChild>
        <w:div w:id="633602093">
          <w:marLeft w:val="0"/>
          <w:marRight w:val="0"/>
          <w:marTop w:val="0"/>
          <w:marBottom w:val="0"/>
          <w:divBdr>
            <w:top w:val="none" w:sz="0" w:space="0" w:color="auto"/>
            <w:left w:val="none" w:sz="0" w:space="0" w:color="auto"/>
            <w:bottom w:val="none" w:sz="0" w:space="0" w:color="auto"/>
            <w:right w:val="none" w:sz="0" w:space="0" w:color="auto"/>
          </w:divBdr>
          <w:divsChild>
            <w:div w:id="2083988080">
              <w:marLeft w:val="0"/>
              <w:marRight w:val="0"/>
              <w:marTop w:val="0"/>
              <w:marBottom w:val="0"/>
              <w:divBdr>
                <w:top w:val="none" w:sz="0" w:space="0" w:color="auto"/>
                <w:left w:val="none" w:sz="0" w:space="0" w:color="auto"/>
                <w:bottom w:val="none" w:sz="0" w:space="0" w:color="auto"/>
                <w:right w:val="none" w:sz="0" w:space="0" w:color="auto"/>
              </w:divBdr>
              <w:divsChild>
                <w:div w:id="1029143307">
                  <w:marLeft w:val="0"/>
                  <w:marRight w:val="0"/>
                  <w:marTop w:val="0"/>
                  <w:marBottom w:val="0"/>
                  <w:divBdr>
                    <w:top w:val="none" w:sz="0" w:space="0" w:color="auto"/>
                    <w:left w:val="none" w:sz="0" w:space="0" w:color="auto"/>
                    <w:bottom w:val="none" w:sz="0" w:space="0" w:color="auto"/>
                    <w:right w:val="none" w:sz="0" w:space="0" w:color="auto"/>
                  </w:divBdr>
                  <w:divsChild>
                    <w:div w:id="18276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82981">
      <w:bodyDiv w:val="1"/>
      <w:marLeft w:val="0"/>
      <w:marRight w:val="0"/>
      <w:marTop w:val="0"/>
      <w:marBottom w:val="0"/>
      <w:divBdr>
        <w:top w:val="none" w:sz="0" w:space="0" w:color="auto"/>
        <w:left w:val="none" w:sz="0" w:space="0" w:color="auto"/>
        <w:bottom w:val="none" w:sz="0" w:space="0" w:color="auto"/>
        <w:right w:val="none" w:sz="0" w:space="0" w:color="auto"/>
      </w:divBdr>
      <w:divsChild>
        <w:div w:id="574821402">
          <w:marLeft w:val="0"/>
          <w:marRight w:val="0"/>
          <w:marTop w:val="0"/>
          <w:marBottom w:val="0"/>
          <w:divBdr>
            <w:top w:val="none" w:sz="0" w:space="0" w:color="auto"/>
            <w:left w:val="none" w:sz="0" w:space="0" w:color="auto"/>
            <w:bottom w:val="none" w:sz="0" w:space="0" w:color="auto"/>
            <w:right w:val="none" w:sz="0" w:space="0" w:color="auto"/>
          </w:divBdr>
          <w:divsChild>
            <w:div w:id="1598907757">
              <w:marLeft w:val="0"/>
              <w:marRight w:val="0"/>
              <w:marTop w:val="0"/>
              <w:marBottom w:val="0"/>
              <w:divBdr>
                <w:top w:val="none" w:sz="0" w:space="0" w:color="auto"/>
                <w:left w:val="none" w:sz="0" w:space="0" w:color="auto"/>
                <w:bottom w:val="none" w:sz="0" w:space="0" w:color="auto"/>
                <w:right w:val="none" w:sz="0" w:space="0" w:color="auto"/>
              </w:divBdr>
              <w:divsChild>
                <w:div w:id="2345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18913">
      <w:bodyDiv w:val="1"/>
      <w:marLeft w:val="0"/>
      <w:marRight w:val="0"/>
      <w:marTop w:val="0"/>
      <w:marBottom w:val="0"/>
      <w:divBdr>
        <w:top w:val="none" w:sz="0" w:space="0" w:color="auto"/>
        <w:left w:val="none" w:sz="0" w:space="0" w:color="auto"/>
        <w:bottom w:val="none" w:sz="0" w:space="0" w:color="auto"/>
        <w:right w:val="none" w:sz="0" w:space="0" w:color="auto"/>
      </w:divBdr>
      <w:divsChild>
        <w:div w:id="1561557722">
          <w:marLeft w:val="0"/>
          <w:marRight w:val="0"/>
          <w:marTop w:val="0"/>
          <w:marBottom w:val="0"/>
          <w:divBdr>
            <w:top w:val="none" w:sz="0" w:space="0" w:color="auto"/>
            <w:left w:val="none" w:sz="0" w:space="0" w:color="auto"/>
            <w:bottom w:val="none" w:sz="0" w:space="0" w:color="auto"/>
            <w:right w:val="none" w:sz="0" w:space="0" w:color="auto"/>
          </w:divBdr>
          <w:divsChild>
            <w:div w:id="76292367">
              <w:marLeft w:val="0"/>
              <w:marRight w:val="0"/>
              <w:marTop w:val="0"/>
              <w:marBottom w:val="0"/>
              <w:divBdr>
                <w:top w:val="none" w:sz="0" w:space="0" w:color="auto"/>
                <w:left w:val="none" w:sz="0" w:space="0" w:color="auto"/>
                <w:bottom w:val="none" w:sz="0" w:space="0" w:color="auto"/>
                <w:right w:val="none" w:sz="0" w:space="0" w:color="auto"/>
              </w:divBdr>
              <w:divsChild>
                <w:div w:id="1444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2055">
      <w:bodyDiv w:val="1"/>
      <w:marLeft w:val="0"/>
      <w:marRight w:val="0"/>
      <w:marTop w:val="0"/>
      <w:marBottom w:val="0"/>
      <w:divBdr>
        <w:top w:val="none" w:sz="0" w:space="0" w:color="auto"/>
        <w:left w:val="none" w:sz="0" w:space="0" w:color="auto"/>
        <w:bottom w:val="none" w:sz="0" w:space="0" w:color="auto"/>
        <w:right w:val="none" w:sz="0" w:space="0" w:color="auto"/>
      </w:divBdr>
      <w:divsChild>
        <w:div w:id="24410179">
          <w:marLeft w:val="0"/>
          <w:marRight w:val="0"/>
          <w:marTop w:val="0"/>
          <w:marBottom w:val="0"/>
          <w:divBdr>
            <w:top w:val="none" w:sz="0" w:space="0" w:color="auto"/>
            <w:left w:val="none" w:sz="0" w:space="0" w:color="auto"/>
            <w:bottom w:val="none" w:sz="0" w:space="0" w:color="auto"/>
            <w:right w:val="none" w:sz="0" w:space="0" w:color="auto"/>
          </w:divBdr>
          <w:divsChild>
            <w:div w:id="1897005670">
              <w:marLeft w:val="0"/>
              <w:marRight w:val="0"/>
              <w:marTop w:val="0"/>
              <w:marBottom w:val="0"/>
              <w:divBdr>
                <w:top w:val="none" w:sz="0" w:space="0" w:color="auto"/>
                <w:left w:val="none" w:sz="0" w:space="0" w:color="auto"/>
                <w:bottom w:val="none" w:sz="0" w:space="0" w:color="auto"/>
                <w:right w:val="none" w:sz="0" w:space="0" w:color="auto"/>
              </w:divBdr>
              <w:divsChild>
                <w:div w:id="1513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2352">
      <w:bodyDiv w:val="1"/>
      <w:marLeft w:val="0"/>
      <w:marRight w:val="0"/>
      <w:marTop w:val="0"/>
      <w:marBottom w:val="0"/>
      <w:divBdr>
        <w:top w:val="none" w:sz="0" w:space="0" w:color="auto"/>
        <w:left w:val="none" w:sz="0" w:space="0" w:color="auto"/>
        <w:bottom w:val="none" w:sz="0" w:space="0" w:color="auto"/>
        <w:right w:val="none" w:sz="0" w:space="0" w:color="auto"/>
      </w:divBdr>
    </w:div>
    <w:div w:id="1444031983">
      <w:bodyDiv w:val="1"/>
      <w:marLeft w:val="0"/>
      <w:marRight w:val="0"/>
      <w:marTop w:val="0"/>
      <w:marBottom w:val="0"/>
      <w:divBdr>
        <w:top w:val="none" w:sz="0" w:space="0" w:color="auto"/>
        <w:left w:val="none" w:sz="0" w:space="0" w:color="auto"/>
        <w:bottom w:val="none" w:sz="0" w:space="0" w:color="auto"/>
        <w:right w:val="none" w:sz="0" w:space="0" w:color="auto"/>
      </w:divBdr>
      <w:divsChild>
        <w:div w:id="1519200461">
          <w:marLeft w:val="0"/>
          <w:marRight w:val="0"/>
          <w:marTop w:val="0"/>
          <w:marBottom w:val="0"/>
          <w:divBdr>
            <w:top w:val="none" w:sz="0" w:space="0" w:color="auto"/>
            <w:left w:val="none" w:sz="0" w:space="0" w:color="auto"/>
            <w:bottom w:val="none" w:sz="0" w:space="0" w:color="auto"/>
            <w:right w:val="none" w:sz="0" w:space="0" w:color="auto"/>
          </w:divBdr>
          <w:divsChild>
            <w:div w:id="392705947">
              <w:marLeft w:val="0"/>
              <w:marRight w:val="0"/>
              <w:marTop w:val="0"/>
              <w:marBottom w:val="0"/>
              <w:divBdr>
                <w:top w:val="none" w:sz="0" w:space="0" w:color="auto"/>
                <w:left w:val="none" w:sz="0" w:space="0" w:color="auto"/>
                <w:bottom w:val="none" w:sz="0" w:space="0" w:color="auto"/>
                <w:right w:val="none" w:sz="0" w:space="0" w:color="auto"/>
              </w:divBdr>
              <w:divsChild>
                <w:div w:id="1860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3207">
      <w:bodyDiv w:val="1"/>
      <w:marLeft w:val="0"/>
      <w:marRight w:val="0"/>
      <w:marTop w:val="0"/>
      <w:marBottom w:val="0"/>
      <w:divBdr>
        <w:top w:val="none" w:sz="0" w:space="0" w:color="auto"/>
        <w:left w:val="none" w:sz="0" w:space="0" w:color="auto"/>
        <w:bottom w:val="none" w:sz="0" w:space="0" w:color="auto"/>
        <w:right w:val="none" w:sz="0" w:space="0" w:color="auto"/>
      </w:divBdr>
      <w:divsChild>
        <w:div w:id="1673141589">
          <w:marLeft w:val="0"/>
          <w:marRight w:val="0"/>
          <w:marTop w:val="0"/>
          <w:marBottom w:val="0"/>
          <w:divBdr>
            <w:top w:val="none" w:sz="0" w:space="0" w:color="auto"/>
            <w:left w:val="none" w:sz="0" w:space="0" w:color="auto"/>
            <w:bottom w:val="none" w:sz="0" w:space="0" w:color="auto"/>
            <w:right w:val="none" w:sz="0" w:space="0" w:color="auto"/>
          </w:divBdr>
          <w:divsChild>
            <w:div w:id="1550920236">
              <w:marLeft w:val="0"/>
              <w:marRight w:val="0"/>
              <w:marTop w:val="0"/>
              <w:marBottom w:val="0"/>
              <w:divBdr>
                <w:top w:val="none" w:sz="0" w:space="0" w:color="auto"/>
                <w:left w:val="none" w:sz="0" w:space="0" w:color="auto"/>
                <w:bottom w:val="none" w:sz="0" w:space="0" w:color="auto"/>
                <w:right w:val="none" w:sz="0" w:space="0" w:color="auto"/>
              </w:divBdr>
              <w:divsChild>
                <w:div w:id="539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6301">
      <w:bodyDiv w:val="1"/>
      <w:marLeft w:val="0"/>
      <w:marRight w:val="0"/>
      <w:marTop w:val="0"/>
      <w:marBottom w:val="0"/>
      <w:divBdr>
        <w:top w:val="none" w:sz="0" w:space="0" w:color="auto"/>
        <w:left w:val="none" w:sz="0" w:space="0" w:color="auto"/>
        <w:bottom w:val="none" w:sz="0" w:space="0" w:color="auto"/>
        <w:right w:val="none" w:sz="0" w:space="0" w:color="auto"/>
      </w:divBdr>
    </w:div>
    <w:div w:id="1550413044">
      <w:bodyDiv w:val="1"/>
      <w:marLeft w:val="0"/>
      <w:marRight w:val="0"/>
      <w:marTop w:val="0"/>
      <w:marBottom w:val="0"/>
      <w:divBdr>
        <w:top w:val="none" w:sz="0" w:space="0" w:color="auto"/>
        <w:left w:val="none" w:sz="0" w:space="0" w:color="auto"/>
        <w:bottom w:val="none" w:sz="0" w:space="0" w:color="auto"/>
        <w:right w:val="none" w:sz="0" w:space="0" w:color="auto"/>
      </w:divBdr>
    </w:div>
    <w:div w:id="1573541917">
      <w:bodyDiv w:val="1"/>
      <w:marLeft w:val="0"/>
      <w:marRight w:val="0"/>
      <w:marTop w:val="0"/>
      <w:marBottom w:val="0"/>
      <w:divBdr>
        <w:top w:val="none" w:sz="0" w:space="0" w:color="auto"/>
        <w:left w:val="none" w:sz="0" w:space="0" w:color="auto"/>
        <w:bottom w:val="none" w:sz="0" w:space="0" w:color="auto"/>
        <w:right w:val="none" w:sz="0" w:space="0" w:color="auto"/>
      </w:divBdr>
      <w:divsChild>
        <w:div w:id="1314601633">
          <w:marLeft w:val="0"/>
          <w:marRight w:val="0"/>
          <w:marTop w:val="0"/>
          <w:marBottom w:val="0"/>
          <w:divBdr>
            <w:top w:val="none" w:sz="0" w:space="0" w:color="auto"/>
            <w:left w:val="none" w:sz="0" w:space="0" w:color="auto"/>
            <w:bottom w:val="none" w:sz="0" w:space="0" w:color="auto"/>
            <w:right w:val="none" w:sz="0" w:space="0" w:color="auto"/>
          </w:divBdr>
          <w:divsChild>
            <w:div w:id="1983580730">
              <w:marLeft w:val="0"/>
              <w:marRight w:val="0"/>
              <w:marTop w:val="0"/>
              <w:marBottom w:val="0"/>
              <w:divBdr>
                <w:top w:val="none" w:sz="0" w:space="0" w:color="auto"/>
                <w:left w:val="none" w:sz="0" w:space="0" w:color="auto"/>
                <w:bottom w:val="none" w:sz="0" w:space="0" w:color="auto"/>
                <w:right w:val="none" w:sz="0" w:space="0" w:color="auto"/>
              </w:divBdr>
              <w:divsChild>
                <w:div w:id="3538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5151">
      <w:bodyDiv w:val="1"/>
      <w:marLeft w:val="0"/>
      <w:marRight w:val="0"/>
      <w:marTop w:val="0"/>
      <w:marBottom w:val="0"/>
      <w:divBdr>
        <w:top w:val="none" w:sz="0" w:space="0" w:color="auto"/>
        <w:left w:val="none" w:sz="0" w:space="0" w:color="auto"/>
        <w:bottom w:val="none" w:sz="0" w:space="0" w:color="auto"/>
        <w:right w:val="none" w:sz="0" w:space="0" w:color="auto"/>
      </w:divBdr>
    </w:div>
    <w:div w:id="1700466310">
      <w:bodyDiv w:val="1"/>
      <w:marLeft w:val="0"/>
      <w:marRight w:val="0"/>
      <w:marTop w:val="0"/>
      <w:marBottom w:val="0"/>
      <w:divBdr>
        <w:top w:val="none" w:sz="0" w:space="0" w:color="auto"/>
        <w:left w:val="none" w:sz="0" w:space="0" w:color="auto"/>
        <w:bottom w:val="none" w:sz="0" w:space="0" w:color="auto"/>
        <w:right w:val="none" w:sz="0" w:space="0" w:color="auto"/>
      </w:divBdr>
      <w:divsChild>
        <w:div w:id="1485470411">
          <w:marLeft w:val="0"/>
          <w:marRight w:val="0"/>
          <w:marTop w:val="0"/>
          <w:marBottom w:val="0"/>
          <w:divBdr>
            <w:top w:val="none" w:sz="0" w:space="0" w:color="auto"/>
            <w:left w:val="none" w:sz="0" w:space="0" w:color="auto"/>
            <w:bottom w:val="none" w:sz="0" w:space="0" w:color="auto"/>
            <w:right w:val="none" w:sz="0" w:space="0" w:color="auto"/>
          </w:divBdr>
          <w:divsChild>
            <w:div w:id="298390058">
              <w:marLeft w:val="0"/>
              <w:marRight w:val="0"/>
              <w:marTop w:val="0"/>
              <w:marBottom w:val="0"/>
              <w:divBdr>
                <w:top w:val="none" w:sz="0" w:space="0" w:color="auto"/>
                <w:left w:val="none" w:sz="0" w:space="0" w:color="auto"/>
                <w:bottom w:val="none" w:sz="0" w:space="0" w:color="auto"/>
                <w:right w:val="none" w:sz="0" w:space="0" w:color="auto"/>
              </w:divBdr>
              <w:divsChild>
                <w:div w:id="10451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5855">
      <w:bodyDiv w:val="1"/>
      <w:marLeft w:val="0"/>
      <w:marRight w:val="0"/>
      <w:marTop w:val="0"/>
      <w:marBottom w:val="0"/>
      <w:divBdr>
        <w:top w:val="none" w:sz="0" w:space="0" w:color="auto"/>
        <w:left w:val="none" w:sz="0" w:space="0" w:color="auto"/>
        <w:bottom w:val="none" w:sz="0" w:space="0" w:color="auto"/>
        <w:right w:val="none" w:sz="0" w:space="0" w:color="auto"/>
      </w:divBdr>
      <w:divsChild>
        <w:div w:id="1538397278">
          <w:marLeft w:val="0"/>
          <w:marRight w:val="0"/>
          <w:marTop w:val="0"/>
          <w:marBottom w:val="0"/>
          <w:divBdr>
            <w:top w:val="none" w:sz="0" w:space="0" w:color="auto"/>
            <w:left w:val="none" w:sz="0" w:space="0" w:color="auto"/>
            <w:bottom w:val="none" w:sz="0" w:space="0" w:color="auto"/>
            <w:right w:val="none" w:sz="0" w:space="0" w:color="auto"/>
          </w:divBdr>
          <w:divsChild>
            <w:div w:id="487018427">
              <w:marLeft w:val="0"/>
              <w:marRight w:val="0"/>
              <w:marTop w:val="0"/>
              <w:marBottom w:val="0"/>
              <w:divBdr>
                <w:top w:val="none" w:sz="0" w:space="0" w:color="auto"/>
                <w:left w:val="none" w:sz="0" w:space="0" w:color="auto"/>
                <w:bottom w:val="none" w:sz="0" w:space="0" w:color="auto"/>
                <w:right w:val="none" w:sz="0" w:space="0" w:color="auto"/>
              </w:divBdr>
              <w:divsChild>
                <w:div w:id="13339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410">
      <w:bodyDiv w:val="1"/>
      <w:marLeft w:val="0"/>
      <w:marRight w:val="0"/>
      <w:marTop w:val="0"/>
      <w:marBottom w:val="0"/>
      <w:divBdr>
        <w:top w:val="none" w:sz="0" w:space="0" w:color="auto"/>
        <w:left w:val="none" w:sz="0" w:space="0" w:color="auto"/>
        <w:bottom w:val="none" w:sz="0" w:space="0" w:color="auto"/>
        <w:right w:val="none" w:sz="0" w:space="0" w:color="auto"/>
      </w:divBdr>
      <w:divsChild>
        <w:div w:id="177545852">
          <w:marLeft w:val="0"/>
          <w:marRight w:val="0"/>
          <w:marTop w:val="0"/>
          <w:marBottom w:val="0"/>
          <w:divBdr>
            <w:top w:val="none" w:sz="0" w:space="0" w:color="auto"/>
            <w:left w:val="none" w:sz="0" w:space="0" w:color="auto"/>
            <w:bottom w:val="none" w:sz="0" w:space="0" w:color="auto"/>
            <w:right w:val="none" w:sz="0" w:space="0" w:color="auto"/>
          </w:divBdr>
          <w:divsChild>
            <w:div w:id="930743240">
              <w:marLeft w:val="0"/>
              <w:marRight w:val="0"/>
              <w:marTop w:val="0"/>
              <w:marBottom w:val="0"/>
              <w:divBdr>
                <w:top w:val="none" w:sz="0" w:space="0" w:color="auto"/>
                <w:left w:val="none" w:sz="0" w:space="0" w:color="auto"/>
                <w:bottom w:val="none" w:sz="0" w:space="0" w:color="auto"/>
                <w:right w:val="none" w:sz="0" w:space="0" w:color="auto"/>
              </w:divBdr>
              <w:divsChild>
                <w:div w:id="829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3733">
      <w:bodyDiv w:val="1"/>
      <w:marLeft w:val="0"/>
      <w:marRight w:val="0"/>
      <w:marTop w:val="0"/>
      <w:marBottom w:val="0"/>
      <w:divBdr>
        <w:top w:val="none" w:sz="0" w:space="0" w:color="auto"/>
        <w:left w:val="none" w:sz="0" w:space="0" w:color="auto"/>
        <w:bottom w:val="none" w:sz="0" w:space="0" w:color="auto"/>
        <w:right w:val="none" w:sz="0" w:space="0" w:color="auto"/>
      </w:divBdr>
      <w:divsChild>
        <w:div w:id="508184074">
          <w:marLeft w:val="0"/>
          <w:marRight w:val="0"/>
          <w:marTop w:val="0"/>
          <w:marBottom w:val="0"/>
          <w:divBdr>
            <w:top w:val="none" w:sz="0" w:space="0" w:color="auto"/>
            <w:left w:val="none" w:sz="0" w:space="0" w:color="auto"/>
            <w:bottom w:val="none" w:sz="0" w:space="0" w:color="auto"/>
            <w:right w:val="none" w:sz="0" w:space="0" w:color="auto"/>
          </w:divBdr>
          <w:divsChild>
            <w:div w:id="1822581591">
              <w:marLeft w:val="0"/>
              <w:marRight w:val="0"/>
              <w:marTop w:val="0"/>
              <w:marBottom w:val="0"/>
              <w:divBdr>
                <w:top w:val="none" w:sz="0" w:space="0" w:color="auto"/>
                <w:left w:val="none" w:sz="0" w:space="0" w:color="auto"/>
                <w:bottom w:val="none" w:sz="0" w:space="0" w:color="auto"/>
                <w:right w:val="none" w:sz="0" w:space="0" w:color="auto"/>
              </w:divBdr>
              <w:divsChild>
                <w:div w:id="20561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49762">
      <w:bodyDiv w:val="1"/>
      <w:marLeft w:val="0"/>
      <w:marRight w:val="0"/>
      <w:marTop w:val="0"/>
      <w:marBottom w:val="0"/>
      <w:divBdr>
        <w:top w:val="none" w:sz="0" w:space="0" w:color="auto"/>
        <w:left w:val="none" w:sz="0" w:space="0" w:color="auto"/>
        <w:bottom w:val="none" w:sz="0" w:space="0" w:color="auto"/>
        <w:right w:val="none" w:sz="0" w:space="0" w:color="auto"/>
      </w:divBdr>
      <w:divsChild>
        <w:div w:id="297422199">
          <w:marLeft w:val="0"/>
          <w:marRight w:val="0"/>
          <w:marTop w:val="0"/>
          <w:marBottom w:val="0"/>
          <w:divBdr>
            <w:top w:val="none" w:sz="0" w:space="0" w:color="auto"/>
            <w:left w:val="none" w:sz="0" w:space="0" w:color="auto"/>
            <w:bottom w:val="none" w:sz="0" w:space="0" w:color="auto"/>
            <w:right w:val="none" w:sz="0" w:space="0" w:color="auto"/>
          </w:divBdr>
          <w:divsChild>
            <w:div w:id="1646742190">
              <w:marLeft w:val="0"/>
              <w:marRight w:val="0"/>
              <w:marTop w:val="0"/>
              <w:marBottom w:val="0"/>
              <w:divBdr>
                <w:top w:val="none" w:sz="0" w:space="0" w:color="auto"/>
                <w:left w:val="none" w:sz="0" w:space="0" w:color="auto"/>
                <w:bottom w:val="none" w:sz="0" w:space="0" w:color="auto"/>
                <w:right w:val="none" w:sz="0" w:space="0" w:color="auto"/>
              </w:divBdr>
              <w:divsChild>
                <w:div w:id="2373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4635</Words>
  <Characters>26422</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4</cp:revision>
  <dcterms:created xsi:type="dcterms:W3CDTF">2024-08-14T13:38:00Z</dcterms:created>
  <dcterms:modified xsi:type="dcterms:W3CDTF">2024-08-17T13:20:00Z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id="f3fDpkZd"/&gt;&lt;style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ZOTERO_BREF_64wpBISens3W4g7NsTri5_1">
    <vt:lpwstr>ZOTERO_ITEM CSL_CITATION {"citationID":"YkcYNjeZ","properties":{"formattedCitation":"(Yotov {\\i{}et al.}, 2016)","plainCitation":"(Yotov et al., 2016)","noteIndex":0},"citationItems":[{"id":194,"uris":["http://zotero.org/users/13839746/items/TR9BRTSS"],"</vt:lpwstr>
  </property>
  <property fmtid="{D5CDD505-2E9C-101B-9397-08002B2CF9AE}" pid="5" name="ZOTERO_BREF_64wpBISens3W4g7NsTri5_2">
    <vt:lpwstr>itemData":{"id":194,"type":"book","ISBN":"978-92-870-4368-9","language":"en","note":"DOI: 10.30875/abc0167e-en","publisher":"WTO","source":"DOI.org (Crossref)","title":"An Advanced Guide to Trade Policy Analysis​: The Structural Gravity Model","title-shor</vt:lpwstr>
  </property>
  <property fmtid="{D5CDD505-2E9C-101B-9397-08002B2CF9AE}" pid="6" name="ZOTERO_BREF_64wpBISens3W4g7NsTri5_3">
    <vt:lpwstr>t":"An Advanced Guide to Trade Policy Analysis​","URL":"https://www.wto-ilibrary.org/content/books/9789287043689","author":[{"family":"Yotov","given":"Yoto V."},{"family":"Piermartini","given":"Roberta"},{"family":"Monteiro","given":"José-Antonio"},{"fami</vt:lpwstr>
  </property>
  <property fmtid="{D5CDD505-2E9C-101B-9397-08002B2CF9AE}" pid="7" name="ZOTERO_BREF_64wpBISens3W4g7NsTri5_4">
    <vt:lpwstr>ly":"Larch","given":"Mario"}],"accessed":{"date-parts":[["2024",7,24]]},"issued":{"date-parts":[["2016",11,15]]}}}],"schema":"https://github.com/citation-style-language/schema/raw/master/csl-citation.json"} </vt:lpwstr>
  </property>
  <property fmtid="{D5CDD505-2E9C-101B-9397-08002B2CF9AE}" pid="8" name="ZOTERO_BREF_JAPkVmT2juvvSJXEp6Uvh_1">
    <vt:lpwstr>ZOTERO_ITEM CSL_CITATION {"citationID":"698OdPsZ","properties":{"formattedCitation":"(Anderson, 1979)","plainCitation":"(Anderson, 1979)","noteIndex":0},"citationItems":[{"id":251,"uris":["http://zotero.org/users/13839746/items/8RNPUHAC"],"itemData":{"id"</vt:lpwstr>
  </property>
  <property fmtid="{D5CDD505-2E9C-101B-9397-08002B2CF9AE}" pid="9" name="ZOTERO_BREF_JAPkVmT2juvvSJXEp6Uvh_2">
    <vt:lpwstr>:251,"type":"article-journal","container-title":"The American Economic Review","ISSN":"0002-8282","issue":"1","note":"publisher: American Economic Association","page":"106-116","source":"JSTOR","title":"A Theoretical Foundation for the Gravity Equation","</vt:lpwstr>
  </property>
  <property fmtid="{D5CDD505-2E9C-101B-9397-08002B2CF9AE}" pid="10" name="ZOTERO_BREF_JAPkVmT2juvvSJXEp6Uvh_3">
    <vt:lpwstr>volume":"69","author":[{"family":"Anderson","given":"James E."}],"issued":{"date-parts":[["1979"]]}}}],"schema":"https://github.com/citation-style-language/schema/raw/master/csl-citation.json"} </vt:lpwstr>
  </property>
  <property fmtid="{D5CDD505-2E9C-101B-9397-08002B2CF9AE}" pid="11" name="ZOTERO_BREF_5X0DmdTcXu1rRVjiO8rkM_1">
    <vt:lpwstr>ZOTERO_ITEM CSL_CITATION {"citationID":"a3JgXMpG","properties":{"formattedCitation":"(Yotov {\\i{}et al.}, 2016; Chatzilazarou and Dadakas, 2023)","plainCitation":"(Yotov et al., 2016; Chatzilazarou and Dadakas, 2023)","noteIndex":0},"citationItems":[{"id</vt:lpwstr>
  </property>
  <property fmtid="{D5CDD505-2E9C-101B-9397-08002B2CF9AE}" pid="12" name="ZOTERO_BREF_5X0DmdTcXu1rRVjiO8rkM_2">
    <vt:lpwstr>":194,"uris":["http://zotero.org/users/13839746/items/TR9BRTSS"],"itemData":{"id":194,"type":"book","ISBN":"978-92-870-4368-9","language":"en","note":"DOI: 10.30875/abc0167e-en","publisher":"WTO","source":"DOI.org (Crossref)","title":"An Advanced Guide to</vt:lpwstr>
  </property>
  <property fmtid="{D5CDD505-2E9C-101B-9397-08002B2CF9AE}" pid="13" name="ZOTERO_BREF_5X0DmdTcXu1rRVjiO8rkM_3">
    <vt:lpwstr> Trade Policy Analysis​: The Structural Gravity Model","title-short":"An Advanced Guide to Trade Policy Analysis​","URL":"https://www.wto-ilibrary.org/content/books/9789287043689","author":[{"family":"Yotov","given":"Yoto V."},{"family":"Piermartini","giv</vt:lpwstr>
  </property>
  <property fmtid="{D5CDD505-2E9C-101B-9397-08002B2CF9AE}" pid="14" name="ZOTERO_BREF_5X0DmdTcXu1rRVjiO8rkM_4">
    <vt:lpwstr>en":"Roberta"},{"family":"Monteiro","given":"José-Antonio"},{"family":"Larch","given":"Mario"}],"accessed":{"date-parts":[["2024",7,24]]},"issued":{"date-parts":[["2016",11,15]]}}},{"id":249,"uris":["http://zotero.org/users/13839746/items/CUKBCPKK"],"item</vt:lpwstr>
  </property>
  <property fmtid="{D5CDD505-2E9C-101B-9397-08002B2CF9AE}" pid="15" name="ZOTERO_BREF_5X0DmdTcXu1rRVjiO8rkM_5">
    <vt:lpwstr>Data":{"id":249,"type":"article-journal","abstract":"Purpose This study deals with changes in European Union's (EU's) trade potential in Machinery (HS 84–85) and Transportation (HS86-89) products. Design/methodology/approach The study uses a Structural Gr</vt:lpwstr>
  </property>
  <property fmtid="{D5CDD505-2E9C-101B-9397-08002B2CF9AE}" pid="16" name="ZOTERO_BREF_5X0DmdTcXu1rRVjiO8rkM_6">
    <vt:lpwstr>avity model, Poisson Pseudo Maximum Likelihood (PPML) estimation together with panel data for the years 2002–2018 and a two-step procedure that employs predicted values of bilateral trade to compare potential to actual trade. Findings Results for Machiner</vt:lpwstr>
  </property>
  <property fmtid="{D5CDD505-2E9C-101B-9397-08002B2CF9AE}" pid="17" name="ZOTERO_BREF_5X0DmdTcXu1rRVjiO8rkM_7">
    <vt:lpwstr>y products suggest a potential to expand trade with existing Regional Trade Agreements (RTAs) in the American continent, and countries of the IGAD region in Africa. In Transportation, a high trade potential with RTAs is found in the Americas, Africa and t</vt:lpwstr>
  </property>
  <property fmtid="{D5CDD505-2E9C-101B-9397-08002B2CF9AE}" pid="18" name="ZOTERO_BREF_5X0DmdTcXu1rRVjiO8rkM_8">
    <vt:lpwstr>he Middle East. Policy suggestions concentrate on opportunities for enhancing trade relations through trade liberalization and agreement proliferation. Originality/value There are no studies to date, that examine “collective” measure of EU trade potential</vt:lpwstr>
  </property>
  <property fmtid="{D5CDD505-2E9C-101B-9397-08002B2CF9AE}" pid="19" name="ZOTERO_BREF_5X0DmdTcXu1rRVjiO8rkM_9">
    <vt:lpwstr>, that treats the EU as a single country. Changes in existing opportunities to expand trade, common for EU members, are of special interest for policy formulation, especially after the recent turmoil presented by the Global Financial Crisis (GFC) and the </vt:lpwstr>
  </property>
  <property fmtid="{D5CDD505-2E9C-101B-9397-08002B2CF9AE}" pid="20" name="ZOTERO_BREF_5X0DmdTcXu1rRVjiO8rkM_10">
    <vt:lpwstr>Greek Economic Crisis (GEC). Treating the EU as a single entity, is necessary for the formulation of an effective, common, EU trade policy. This study concentrates on the manufacturing sector to examine existing opportunities for the EU to expand trade, a</vt:lpwstr>
  </property>
  <property fmtid="{D5CDD505-2E9C-101B-9397-08002B2CF9AE}" pid="21" name="ZOTERO_BREF_5X0DmdTcXu1rRVjiO8rkM_11">
    <vt:lpwstr>fter the GFC and the GEC. This article deals with Machinery (HS 84 and 85) and Transportation (HS 86 through 89) products as they comprise a significant part of total EU exports, reaching 41% of total exports in 2016. Finally, this study offers a unique i</vt:lpwstr>
  </property>
  <property fmtid="{D5CDD505-2E9C-101B-9397-08002B2CF9AE}" pid="22" name="ZOTERO_BREF_5X0DmdTcXu1rRVjiO8rkM_12">
    <vt:lpwstr>llustration of results through trade potential heat maps.","container-title":"Journal of Economic Studies","DOI":"10.1108/JES-06-2023-0292","ISSN":"0144-3585","issue":"5","note":"publisher: Emerald Publishing Limited","page":"1144-1163","source":"Emerald </vt:lpwstr>
  </property>
  <property fmtid="{D5CDD505-2E9C-101B-9397-08002B2CF9AE}" pid="23" name="ZOTERO_BREF_5X0DmdTcXu1rRVjiO8rkM_13">
    <vt:lpwstr>Insight","title":"Trade potential in European Union manufacturing","volume":"51","author":[{"family":"Chatzilazarou","given":"Lazaros Antonios"},{"family":"Dadakas","given":"Dimitrios"}],"issued":{"date-parts":[["2023",1,1]]}}}],"schema":"https://github.c</vt:lpwstr>
  </property>
  <property fmtid="{D5CDD505-2E9C-101B-9397-08002B2CF9AE}" pid="24" name="ZOTERO_BREF_5X0DmdTcXu1rRVjiO8rkM_14">
    <vt:lpwstr>om/citation-style-language/schema/raw/master/csl-citation.json"} </vt:lpwstr>
  </property>
  <property fmtid="{D5CDD505-2E9C-101B-9397-08002B2CF9AE}" pid="25" name="ZOTERO_BREF_3B0s4lKduqkmoZmE7hUr5_1">
    <vt:lpwstr>ZOTERO_ITEM CSL_CITATION {"citationID":"WY5ao1Fv","properties":{"formattedCitation":"(Anderson and van Wincoop, 2003)","plainCitation":"(Anderson and van Wincoop, 2003)","noteIndex":0},"citationItems":[{"id":253,"uris":["http://zotero.org/users/13839746/i</vt:lpwstr>
  </property>
  <property fmtid="{D5CDD505-2E9C-101B-9397-08002B2CF9AE}" pid="26" name="ZOTERO_BREF_3B0s4lKduqkmoZmE7hUr5_2">
    <vt:lpwstr>tems/BRTAEV93"],"itemData":{"id":253,"type":"article-journal","abstract":"Gravity equations have been widely used to infer trade flow effects of various institutional arrangements. We show that estimated gravity equations do not have a theoretical foundat</vt:lpwstr>
  </property>
  <property fmtid="{D5CDD505-2E9C-101B-9397-08002B2CF9AE}" pid="27" name="ZOTERO_BREF_3B0s4lKduqkmoZmE7hUr5_3">
    <vt:lpwstr>ion. This implies both that estimation suffers from omitted variables bias and that comparative statics analysis is unfounded. We develop a method that (i) consistently and efficiently estimates a theoretical gravity equation and (ii) correctly calculates</vt:lpwstr>
  </property>
  <property fmtid="{D5CDD505-2E9C-101B-9397-08002B2CF9AE}" pid="28" name="ZOTERO_BREF_3B0s4lKduqkmoZmE7hUr5_4">
    <vt:lpwstr> the comparative statics of trade frictions. We apply the method to solve the famous McCallum border puzzle. Applying our method, we find that national borders reduce trade between industrialized countries by moderate amounts of 20-50 percent.","container</vt:lpwstr>
  </property>
  <property fmtid="{D5CDD505-2E9C-101B-9397-08002B2CF9AE}" pid="29" name="ZOTERO_BREF_3B0s4lKduqkmoZmE7hUr5_5">
    <vt:lpwstr>-title":"The American Economic Review","ISSN":"0002-8282","issue":"1","note":"publisher: American Economic Association","page":"170-192","source":"JSTOR","title":"Gravity with Gravitas: A Solution to the Border Puzzle","title-short":"Gravity with Gravitas</vt:lpwstr>
  </property>
  <property fmtid="{D5CDD505-2E9C-101B-9397-08002B2CF9AE}" pid="30" name="ZOTERO_BREF_3B0s4lKduqkmoZmE7hUr5_6">
    <vt:lpwstr>","volume":"93","author":[{"family":"Anderson","given":"James E."},{"family":"Wincoop","given":"Eric","non-dropping-particle":"van"}],"issued":{"date-parts":[["2003"]]}}}],"schema":"https://github.com/citation-style-language/schema/raw/master/csl-citation</vt:lpwstr>
  </property>
  <property fmtid="{D5CDD505-2E9C-101B-9397-08002B2CF9AE}" pid="31" name="ZOTERO_BREF_3B0s4lKduqkmoZmE7hUr5_7">
    <vt:lpwstr>.json"} </vt:lpwstr>
  </property>
  <property fmtid="{D5CDD505-2E9C-101B-9397-08002B2CF9AE}" pid="32" name="ZOTERO_BREF_SqbDuEXqtdTHsUWPnCbLC_1">
    <vt:lpwstr>ZOTERO_ITEM CSL_CITATION {"citationID":"0Dqczn0F","properties":{"formattedCitation":"(Olivero and Yotov, 2012)","plainCitation":"(Olivero and Yotov, 2012)","noteIndex":0},"citationItems":[{"id":261,"uris":["http://zotero.org/users/13839746/items/RE5VLUSZ"</vt:lpwstr>
  </property>
  <property fmtid="{D5CDD505-2E9C-101B-9397-08002B2CF9AE}" pid="33" name="ZOTERO_BREF_SqbDuEXqtdTHsUWPnCbLC_2">
    <vt:lpwstr>],"itemData":{"id":261,"type":"article-journal","abstract":"Numerous gravity applications have resorted to panel data econometric techniques over the past decade. However, with the theory of gravity being so far only static, these estimations lack solid s</vt:lpwstr>
  </property>
  <property fmtid="{D5CDD505-2E9C-101B-9397-08002B2CF9AE}" pid="34" name="ZOTERO_BREF_SqbDuEXqtdTHsUWPnCbLC_3">
    <vt:lpwstr>tructural dynamic foundations. As a consequence, a consensus on a unified dynamic gravity estimation approach is yet to be reached. In this paper, (i) we build the theoretical foundations for a dynamic gravity model, (ii) we provide guidance for gravity-t</vt:lpwstr>
  </property>
  <property fmtid="{D5CDD505-2E9C-101B-9397-08002B2CF9AE}" pid="35" name="ZOTERO_BREF_SqbDuEXqtdTHsUWPnCbLC_4">
    <vt:lpwstr>ype estimations with panel data and we consider applications, and (iii) we calibrate and simulate our model to compare its properties with those of the standard, static gravity setup.","container-title":"Canadian Journal of Economics/Revue canadienne d'éc</vt:lpwstr>
  </property>
  <property fmtid="{D5CDD505-2E9C-101B-9397-08002B2CF9AE}" pid="36" name="ZOTERO_BREF_SqbDuEXqtdTHsUWPnCbLC_5">
    <vt:lpwstr>onomique","DOI":"10.1111/j.1540-5982.2011.01687.x","ISSN":"1540-5982","issue":"1","language":"en","license":"© Canadian Economics Association","note":"_eprint: https://onlinelibrary.wiley.com/doi/pdf/10.1111/j.1540-5982.2011.01687.x","page":"64-92","sourc</vt:lpwstr>
  </property>
  <property fmtid="{D5CDD505-2E9C-101B-9397-08002B2CF9AE}" pid="37" name="ZOTERO_BREF_SqbDuEXqtdTHsUWPnCbLC_6">
    <vt:lpwstr>e":"Wiley Online Library","title":"Dynamic gravity: endogenous country size and asset accumulation","title-short":"Dynamic gravity","volume":"45","author":[{"family":"Olivero","given":"María Pía"},{"family":"Yotov","given":"Yoto V."}],"issued":{"date-part</vt:lpwstr>
  </property>
  <property fmtid="{D5CDD505-2E9C-101B-9397-08002B2CF9AE}" pid="38" name="ZOTERO_BREF_SqbDuEXqtdTHsUWPnCbLC_7">
    <vt:lpwstr>s":[["2012"]]}}}],"schema":"https://github.com/citation-style-language/schema/raw/master/csl-citation.json"} </vt:lpwstr>
  </property>
  <property fmtid="{D5CDD505-2E9C-101B-9397-08002B2CF9AE}" pid="39" name="ZOTERO_BREF_J6UykbNogWwes6hmP8yWU_1">
    <vt:lpwstr>ZOTERO_ITEM CSL_CITATION {"citationID":"yOX4x69A","properties":{"formattedCitation":"(Yotov {\\i{}et al.}, 2016)","plainCitation":"(Yotov et al., 2016)","noteIndex":0},"citationItems":[{"id":194,"uris":["http://zotero.org/users/13839746/items/TR9BRTSS"],"</vt:lpwstr>
  </property>
  <property fmtid="{D5CDD505-2E9C-101B-9397-08002B2CF9AE}" pid="40" name="ZOTERO_BREF_J6UykbNogWwes6hmP8yWU_2">
    <vt:lpwstr>itemData":{"id":194,"type":"book","ISBN":"978-92-870-4368-9","language":"en","note":"DOI: 10.30875/abc0167e-en","publisher":"WTO","source":"DOI.org (Crossref)","title":"An Advanced Guide to Trade Policy Analysis​: The Structural Gravity Model","title-shor</vt:lpwstr>
  </property>
  <property fmtid="{D5CDD505-2E9C-101B-9397-08002B2CF9AE}" pid="41" name="ZOTERO_BREF_J6UykbNogWwes6hmP8yWU_3">
    <vt:lpwstr>t":"An Advanced Guide to Trade Policy Analysis​","URL":"https://www.wto-ilibrary.org/content/books/9789287043689","author":[{"family":"Yotov","given":"Yoto V."},{"family":"Piermartini","given":"Roberta"},{"family":"Monteiro","given":"José-Antonio"},{"fami</vt:lpwstr>
  </property>
  <property fmtid="{D5CDD505-2E9C-101B-9397-08002B2CF9AE}" pid="42" name="ZOTERO_BREF_J6UykbNogWwes6hmP8yWU_4">
    <vt:lpwstr>ly":"Larch","given":"Mario"}],"accessed":{"date-parts":[["2024",7,24]]},"issued":{"date-parts":[["2016",11,15]]}}}],"schema":"https://github.com/citation-style-language/schema/raw/master/csl-citation.json"} </vt:lpwstr>
  </property>
  <property fmtid="{D5CDD505-2E9C-101B-9397-08002B2CF9AE}" pid="43" name="ZOTERO_BREF_F8s8XwYJJnE51a8wTcKJw_1">
    <vt:lpwstr>ZOTERO_ITEM CSL_CITATION {"citationID":"g0PBEUhr","properties":{"formattedCitation":"(Silva and Tenreyro, 2006; Santos Silva and Tenreyro, 2011)","plainCitation":"(Silva and Tenreyro, 2006; Santos Silva and Tenreyro, 2011)","noteIndex":0},"citationItems":</vt:lpwstr>
  </property>
  <property fmtid="{D5CDD505-2E9C-101B-9397-08002B2CF9AE}" pid="44" name="ZOTERO_BREF_F8s8XwYJJnE51a8wTcKJw_2">
    <vt:lpwstr>[{"id":242,"uris":["http://zotero.org/users/13839746/items/XM3TTKYE"],"itemData":{"id":242,"type":"article-journal","abstract":"Although economists have long been aware of Jensen's in-equality, many econometric applications have neglected an important imp</vt:lpwstr>
  </property>
  <property fmtid="{D5CDD505-2E9C-101B-9397-08002B2CF9AE}" pid="45" name="ZOTERO_BREF_F8s8XwYJJnE51a8wTcKJw_3">
    <vt:lpwstr>lication of it: under heteroskedasticity, the parameters of log-linearized models estimated by OLS lead to biased estimates of the true elasticities. We explain why this problem arises and propose an appropriate estimator. Our criticism of conventional pr</vt:lpwstr>
  </property>
  <property fmtid="{D5CDD505-2E9C-101B-9397-08002B2CF9AE}" pid="46" name="ZOTERO_BREF_F8s8XwYJJnE51a8wTcKJw_4">
    <vt:lpwstr>actices and the proposed solution extend to a broad range of applications where log-linearized equations are estimated. We develop the argument using one particular illustration, the gravity equation for trade. We find significant differences between esti</vt:lpwstr>
  </property>
  <property fmtid="{D5CDD505-2E9C-101B-9397-08002B2CF9AE}" pid="47" name="ZOTERO_BREF_F8s8XwYJJnE51a8wTcKJw_5">
    <vt:lpwstr>mates obtained with the proposed estimator and those obtained with the traditional method.","container-title":"The Review of Economics and Statistics","ISSN":"0034-6535","issue":"4","note":"publisher: The MIT Press","page":"641-658","source":"JSTOR","titl</vt:lpwstr>
  </property>
  <property fmtid="{D5CDD505-2E9C-101B-9397-08002B2CF9AE}" pid="48" name="ZOTERO_BREF_F8s8XwYJJnE51a8wTcKJw_6">
    <vt:lpwstr>e":"The Log of Gravity","volume":"88","author":[{"family":"Silva","given":"J. M. C. Santos"},{"family":"Tenreyro","given":"Silvana"}],"issued":{"date-parts":[["2006"]]}}},{"id":244,"uris":["http://zotero.org/users/13839746/items/AWZMKKSB"],"itemData":{"id</vt:lpwstr>
  </property>
  <property fmtid="{D5CDD505-2E9C-101B-9397-08002B2CF9AE}" pid="49" name="ZOTERO_BREF_F8s8XwYJJnE51a8wTcKJw_7">
    <vt:lpwstr>":244,"type":"article-journal","abstract":"We extend the simulation results in Santos Silva and Tenreyro (2006, The log of gravity, The Review of Economics and Statistics, 88, 641–658) by considering a novel data-generating process. Our results confirm th</vt:lpwstr>
  </property>
  <property fmtid="{D5CDD505-2E9C-101B-9397-08002B2CF9AE}" pid="50" name="ZOTERO_BREF_F8s8XwYJJnE51a8wTcKJw_8">
    <vt:lpwstr>at the Poisson pseudo-maximum likelihood estimator is generally well behaved, even when the proportion of zeros in the sample is very large.","container-title":"Economics Letters","DOI":"10.1016/j.econlet.2011.05.008","ISSN":"0165-1765","issue":"2","journ</vt:lpwstr>
  </property>
  <property fmtid="{D5CDD505-2E9C-101B-9397-08002B2CF9AE}" pid="51" name="ZOTERO_BREF_F8s8XwYJJnE51a8wTcKJw_9">
    <vt:lpwstr>alAbbreviation":"Economics Letters","page":"220-222","source":"ScienceDirect","title":"Further simulation evidence on the performance of the Poisson pseudo-maximum likelihood estimator","volume":"112","author":[{"family":"Santos Silva","given":"J. M. C."}</vt:lpwstr>
  </property>
  <property fmtid="{D5CDD505-2E9C-101B-9397-08002B2CF9AE}" pid="52" name="ZOTERO_BREF_F8s8XwYJJnE51a8wTcKJw_10">
    <vt:lpwstr>,{"family":"Tenreyro","given":"Silvana"}],"issued":{"date-parts":[["2011",8,1]]}}}],"schema":"https://github.com/citation-style-language/schema/raw/master/csl-citation.json"} </vt:lpwstr>
  </property>
  <property fmtid="{D5CDD505-2E9C-101B-9397-08002B2CF9AE}" pid="53" name="ZOTERO_BREF_4zZGELnXofAS7yfQ0HLQm_1">
    <vt:lpwstr>ZOTERO_ITEM CSL_CITATION {"citationID":"KB7HQQap","properties":{"formattedCitation":"(Baier and Bergstrand, 2007)","plainCitation":"(Baier and Bergstrand, 2007)","noteIndex":0},"citationItems":[{"id":232,"uris":["http://zotero.org/users/13839746/items/BL7</vt:lpwstr>
  </property>
  <property fmtid="{D5CDD505-2E9C-101B-9397-08002B2CF9AE}" pid="54" name="ZOTERO_BREF_4zZGELnXofAS7yfQ0HLQm_2">
    <vt:lpwstr>7KKLZ"],"itemData":{"id":232,"type":"article-journal","abstract":"For over 40 years, the gravity equation has been a workhorse for cross-country empirical analyses of international trade flows and — in particular — the effects of free trade agreements (FT</vt:lpwstr>
  </property>
  <property fmtid="{D5CDD505-2E9C-101B-9397-08002B2CF9AE}" pid="55" name="ZOTERO_BREF_4zZGELnXofAS7yfQ0HLQm_3">
    <vt:lpwstr>As) on trade flows. However, the gravity equation is subject to the same econometric critique as earlier cross-industry studies of U.S. tariff and nontariff barriers and U.S. multilateral imports: trade policy is not an exogenous variable. We address econ</vt:lpwstr>
  </property>
  <property fmtid="{D5CDD505-2E9C-101B-9397-08002B2CF9AE}" pid="56" name="ZOTERO_BREF_4zZGELnXofAS7yfQ0HLQm_4">
    <vt:lpwstr>ometrically the endogeneity of FTAs. Although instrumental-variable and control-function approaches do not adjust for endogeneity well, a panel approach does. Accounting econometrically for the FTA variable's endogeneity yields striking empirical results:</vt:lpwstr>
  </property>
  <property fmtid="{D5CDD505-2E9C-101B-9397-08002B2CF9AE}" pid="57" name="ZOTERO_BREF_4zZGELnXofAS7yfQ0HLQm_5">
    <vt:lpwstr> the effect of FTAs on trade flows is quintupled. We find that, on average, an FTA approximately doubles two members' bilateral trade after 10 years.","container-title":"Journal of International Economics","DOI":"10.1016/j.jinteco.2006.02.005","ISSN":"002</vt:lpwstr>
  </property>
  <property fmtid="{D5CDD505-2E9C-101B-9397-08002B2CF9AE}" pid="58" name="ZOTERO_BREF_4zZGELnXofAS7yfQ0HLQm_6">
    <vt:lpwstr>2-1996","issue":"1","journalAbbreviation":"Journal of International Economics","page":"72-95","source":"ScienceDirect","title":"Do free trade agreements actually increase members' international trade?","volume":"71","author":[{"family":"Baier","given":"Sc</vt:lpwstr>
  </property>
  <property fmtid="{D5CDD505-2E9C-101B-9397-08002B2CF9AE}" pid="59" name="ZOTERO_BREF_4zZGELnXofAS7yfQ0HLQm_7">
    <vt:lpwstr>ott L."},{"family":"Bergstrand","given":"Jeffrey H."}],"issued":{"date-parts":[["2007",3,8]]}}}],"schema":"https://github.com/citation-style-language/schema/raw/master/csl-citation.json"} </vt:lpwstr>
  </property>
  <property fmtid="{D5CDD505-2E9C-101B-9397-08002B2CF9AE}" pid="60" name="ZOTERO_BREF_pMoeQMmSUAHkJL39YLlkW_1">
    <vt:lpwstr>ZOTERO_ITEM CSL_CITATION {"citationID":"xeTyzcFJ","properties":{"formattedCitation":"(Dai, Yotov and Zylkin, 2014; Heid, Larch and Yotov, 2017)","plainCitation":"(Dai, Yotov and Zylkin, 2014; Heid, Larch and Yotov, 2017)","noteIndex":0},"citationItems":[{</vt:lpwstr>
  </property>
  <property fmtid="{D5CDD505-2E9C-101B-9397-08002B2CF9AE}" pid="61" name="ZOTERO_BREF_pMoeQMmSUAHkJL39YLlkW_2">
    <vt:lpwstr>"id":273,"uris":["http://zotero.org/users/13839746/items/MFIGNNC4"],"itemData":{"id":273,"type":"article-journal","abstract":"Trade-diversion effects of free trade agreements (FTAs) have not been thoroughly examined empirically. Using a novel empirical ap</vt:lpwstr>
  </property>
  <property fmtid="{D5CDD505-2E9C-101B-9397-08002B2CF9AE}" pid="62" name="ZOTERO_BREF_pMoeQMmSUAHkJL39YLlkW_3">
    <vt:lpwstr>proach, we confirm that FTAs divert trade away from non-member countries and even more so from internal trade (domestic sales) in member countries.","container-title":"Economics Letters","DOI":"10.1016/j.econlet.2013.12.024","ISSN":"0165-1765","issue":"2"</vt:lpwstr>
  </property>
  <property fmtid="{D5CDD505-2E9C-101B-9397-08002B2CF9AE}" pid="63" name="ZOTERO_BREF_pMoeQMmSUAHkJL39YLlkW_4">
    <vt:lpwstr>,"journalAbbreviation":"Economics Letters","page":"321-325","source":"ScienceDirect","title":"On the trade-diversion effects of free trade agreements","volume":"122","author":[{"family":"Dai","given":"Mian"},{"family":"Yotov","given":"Yoto V."},{"family":</vt:lpwstr>
  </property>
  <property fmtid="{D5CDD505-2E9C-101B-9397-08002B2CF9AE}" pid="64" name="ZOTERO_BREF_pMoeQMmSUAHkJL39YLlkW_5">
    <vt:lpwstr>"Zylkin","given":"Thomas"}],"issued":{"date-parts":[["2014",2,1]]}}},{"id":267,"uris":["http://zotero.org/users/13839746/items/WLEIJS7L"],"itemData":{"id":267,"type":"article","abstract":"We propose a simple method to identify the effects of unilateral an</vt:lpwstr>
  </property>
  <property fmtid="{D5CDD505-2E9C-101B-9397-08002B2CF9AE}" pid="65" name="ZOTERO_BREF_pMoeQMmSUAHkJL39YLlkW_6">
    <vt:lpwstr>d non-discriminatory trade policies on bilateral trade within a theoretically-consistent empirical gravity model. Specifically, we argue that structural gravity estimations should be performed with data that include not only international trade flows but </vt:lpwstr>
  </property>
  <property fmtid="{D5CDD505-2E9C-101B-9397-08002B2CF9AE}" pid="66" name="ZOTERO_BREF_pMoeQMmSUAHkJL39YLlkW_7">
    <vt:lpwstr>also intra-national trade flows. The use of intra-national sales allows identification of the effects of non-discriminatory trade policies on the importer side (e.g. most favored nation tariffs) and on the exporter side (e.g. export subsidies), even in th</vt:lpwstr>
  </property>
  <property fmtid="{D5CDD505-2E9C-101B-9397-08002B2CF9AE}" pid="67" name="ZOTERO_BREF_pMoeQMmSUAHkJL39YLlkW_8">
    <vt:lpwstr>e presence of exporter and importer fixed effects. An important byproduct of our approach is that it can be used to recover estimates of the export-supply elasticity and of the import-demand elasticity. We demonstrate the effectiveness of our techniques i</vt:lpwstr>
  </property>
  <property fmtid="{D5CDD505-2E9C-101B-9397-08002B2CF9AE}" pid="68" name="ZOTERO_BREF_pMoeQMmSUAHkJL39YLlkW_9">
    <vt:lpwstr>n the case of MFN tariffs and \"Time to Export\" as representative determinants of trade on the importer and on the exporter side, respectively. Our methods can be extended to quantify the impact on trade of any country-specific characteristics as well as</vt:lpwstr>
  </property>
  <property fmtid="{D5CDD505-2E9C-101B-9397-08002B2CF9AE}" pid="69" name="ZOTERO_BREF_pMoeQMmSUAHkJL39YLlkW_10">
    <vt:lpwstr> any non-trade policies.","DOI":"10.2139/ssrn.3100014","event-place":"Rochester, NY","genre":"SSRN Scholarly Paper","language":"en","number":"3100014","publisher-place":"Rochester, NY","source":"Social Science Research Network","title":"Estimating the Eff</vt:lpwstr>
  </property>
  <property fmtid="{D5CDD505-2E9C-101B-9397-08002B2CF9AE}" pid="70" name="ZOTERO_BREF_pMoeQMmSUAHkJL39YLlkW_11">
    <vt:lpwstr>ects of Non-Discriminatory Trade Policies within Structural Gravity Models","URL":"https://papers.ssrn.com/abstract=3100014","author":[{"family":"Heid","given":"Benedikt"},{"family":"Larch","given":"Mario"},{"family":"Yotov","given":"Yoto V."}],"accessed"</vt:lpwstr>
  </property>
  <property fmtid="{D5CDD505-2E9C-101B-9397-08002B2CF9AE}" pid="71" name="ZOTERO_BREF_pMoeQMmSUAHkJL39YLlkW_12">
    <vt:lpwstr>:{"date-parts":[["2024",8,7]]},"issued":{"date-parts":[["2017",11,16]]}}}],"schema":"https://github.com/citation-style-language/schema/raw/master/csl-citation.json"} </vt:lpwstr>
  </property>
  <property fmtid="{D5CDD505-2E9C-101B-9397-08002B2CF9AE}" pid="72" name="ZOTERO_BREF_G5VJuk6T8wweLaiuquFHU_1">
    <vt:lpwstr>ZOTERO_ITEM CSL_CITATION {"citationID":"XkWzhbrT","properties":{"formattedCitation":"(Baier and Bergstrand, 2007; Anderson and Yotov, 2016)","plainCitation":"(Baier and Bergstrand, 2007; Anderson and Yotov, 2016)","noteIndex":0},"citationItems":[{"id":232</vt:lpwstr>
  </property>
  <property fmtid="{D5CDD505-2E9C-101B-9397-08002B2CF9AE}" pid="73" name="ZOTERO_BREF_G5VJuk6T8wweLaiuquFHU_2">
    <vt:lpwstr>,"uris":["http://zotero.org/users/13839746/items/BL77KKLZ"],"itemData":{"id":232,"type":"article-journal","abstract":"For over 40 years, the gravity equation has been a workhorse for cross-country empirical analyses of international trade flows and — in p</vt:lpwstr>
  </property>
  <property fmtid="{D5CDD505-2E9C-101B-9397-08002B2CF9AE}" pid="74" name="ZOTERO_BREF_G5VJuk6T8wweLaiuquFHU_3">
    <vt:lpwstr>articular — the effects of free trade agreements (FTAs) on trade flows. However, the gravity equation is subject to the same econometric critique as earlier cross-industry studies of U.S. tariff and nontariff barriers and U.S. multilateral imports: trade </vt:lpwstr>
  </property>
  <property fmtid="{D5CDD505-2E9C-101B-9397-08002B2CF9AE}" pid="75" name="ZOTERO_BREF_G5VJuk6T8wweLaiuquFHU_4">
    <vt:lpwstr>policy is not an exogenous variable. We address econometrically the endogeneity of FTAs. Although instrumental-variable and control-function approaches do not adjust for endogeneity well, a panel approach does. Accounting econometrically for the FTA varia</vt:lpwstr>
  </property>
  <property fmtid="{D5CDD505-2E9C-101B-9397-08002B2CF9AE}" pid="76" name="ZOTERO_BREF_G5VJuk6T8wweLaiuquFHU_5">
    <vt:lpwstr>ble's endogeneity yields striking empirical results: the effect of FTAs on trade flows is quintupled. We find that, on average, an FTA approximately doubles two members' bilateral trade after 10 years.","container-title":"Journal of International Economic</vt:lpwstr>
  </property>
  <property fmtid="{D5CDD505-2E9C-101B-9397-08002B2CF9AE}" pid="77" name="ZOTERO_BREF_G5VJuk6T8wweLaiuquFHU_6">
    <vt:lpwstr>s","DOI":"10.1016/j.jinteco.2006.02.005","ISSN":"0022-1996","issue":"1","journalAbbreviation":"Journal of International Economics","page":"72-95","source":"ScienceDirect","title":"Do free trade agreements actually increase members' international trade?","</vt:lpwstr>
  </property>
  <property fmtid="{D5CDD505-2E9C-101B-9397-08002B2CF9AE}" pid="78" name="ZOTERO_BREF_G5VJuk6T8wweLaiuquFHU_7">
    <vt:lpwstr>volume":"71","author":[{"family":"Baier","given":"Scott L."},{"family":"Bergstrand","given":"Jeffrey H."}],"issued":{"date-parts":[["2007",3,8]]}}},{"id":258,"uris":["http://zotero.org/users/13839746/items/ILZLPQ7V"],"itemData":{"id":258,"type":"article-j</vt:lpwstr>
  </property>
  <property fmtid="{D5CDD505-2E9C-101B-9397-08002B2CF9AE}" pid="79" name="ZOTERO_BREF_G5VJuk6T8wweLaiuquFHU_8">
    <vt:lpwstr>ournal","abstract":"This paper infers the terms of trade effects of free trade agreements (FTAs) implemented in the 1990s. We estimate large FTA effects on bilateral trade volume in 2 digit manufacturing goods from 1990–2002, using panel data gravity meth</vt:lpwstr>
  </property>
  <property fmtid="{D5CDD505-2E9C-101B-9397-08002B2CF9AE}" pid="80" name="ZOTERO_BREF_G5VJuk6T8wweLaiuquFHU_9">
    <vt:lpwstr>ods to resolve two way causality. The terms of trade changes implied by these volume effects are deduced for 40 countries plus a rest-of-the-world aggregate using an endowments general equilibrium model. Some countries gain over 5% of real manufacturing i</vt:lpwstr>
  </property>
  <property fmtid="{D5CDD505-2E9C-101B-9397-08002B2CF9AE}" pid="81" name="ZOTERO_BREF_G5VJuk6T8wweLaiuquFHU_10">
    <vt:lpwstr>ncome, some lose less than 0.3%. Global efficiency of manufactures trade rises 0.9% based on a distance function measure of iceberg melting.","container-title":"Journal of International Economics","DOI":"10.1016/j.jinteco.2015.10.006","ISSN":"0022-1996","</vt:lpwstr>
  </property>
  <property fmtid="{D5CDD505-2E9C-101B-9397-08002B2CF9AE}" pid="82" name="ZOTERO_BREF_G5VJuk6T8wweLaiuquFHU_11">
    <vt:lpwstr>journalAbbreviation":"Journal of International Economics","page":"279-298","source":"ScienceDirect","title":"Terms of trade and global efficiency effects of free trade agreements, 1990–2002","volume":"99","author":[{"family":"Anderson","given":"James E."}</vt:lpwstr>
  </property>
  <property fmtid="{D5CDD505-2E9C-101B-9397-08002B2CF9AE}" pid="83" name="ZOTERO_BREF_G5VJuk6T8wweLaiuquFHU_12">
    <vt:lpwstr>,{"family":"Yotov","given":"Yoto V."}],"issued":{"date-parts":[["2016",3,1]]}}}],"schema":"https://github.com/citation-style-language/schema/raw/master/csl-citation.json"} </vt:lpwstr>
  </property>
  <property fmtid="{D5CDD505-2E9C-101B-9397-08002B2CF9AE}" pid="84" name="ZOTERO_BREF_dRWokNPaLONDLWw4cdqlZ_1">
    <vt:lpwstr>ZOTERO_ITEM CSL_CITATION {"citationID":"qzQ1XlV6","properties":{"formattedCitation":"(Yotov, 2012; Bergstrand, Larch and Yotov, 2015)","plainCitation":"(Yotov, 2012; Bergstrand, Larch and Yotov, 2015)","noteIndex":0},"citationItems":[{"id":271,"uris":["ht</vt:lpwstr>
  </property>
  <property fmtid="{D5CDD505-2E9C-101B-9397-08002B2CF9AE}" pid="85" name="ZOTERO_BREF_dRWokNPaLONDLWw4cdqlZ_2">
    <vt:lpwstr>tp://zotero.org/users/13839746/items/UY58CB3M"],"itemData":{"id":271,"type":"article-journal","abstract":"I propose a simple solution to the distance puzzle in international trade. Contrary to existing estimates of persistent or increasing distance effect</vt:lpwstr>
  </property>
  <property fmtid="{D5CDD505-2E9C-101B-9397-08002B2CF9AE}" pid="86" name="ZOTERO_BREF_dRWokNPaLONDLWw4cdqlZ_3">
    <vt:lpwstr>s on trade, I offer robust evidence that the impact of distance on trade has fallen steadily over time.","container-title":"Economics Letters","DOI":"10.1016/j.econlet.2012.08.032","ISSN":"0165-1765","issue":"3","journalAbbreviation":"Economics Letters","</vt:lpwstr>
  </property>
  <property fmtid="{D5CDD505-2E9C-101B-9397-08002B2CF9AE}" pid="87" name="ZOTERO_BREF_dRWokNPaLONDLWw4cdqlZ_4">
    <vt:lpwstr>page":"794-798","source":"ScienceDirect","title":"A simple solution to the distance puzzle in international trade","volume":"117","author":[{"family":"Yotov","given":"Yoto V."}],"issued":{"date-parts":[["2012",12,1]]}}},{"id":238,"uris":["http://zotero.or</vt:lpwstr>
  </property>
  <property fmtid="{D5CDD505-2E9C-101B-9397-08002B2CF9AE}" pid="88" name="ZOTERO_BREF_dRWokNPaLONDLWw4cdqlZ_5">
    <vt:lpwstr>g/users/13839746/items/VF28CZJB"],"itemData":{"id":238,"type":"article-journal","abstract":"Using a novel common econometric specification, we examine the measurement of three important effects in international trade that historically have been addressed </vt:lpwstr>
  </property>
  <property fmtid="{D5CDD505-2E9C-101B-9397-08002B2CF9AE}" pid="89" name="ZOTERO_BREF_dRWokNPaLONDLWw4cdqlZ_6">
    <vt:lpwstr>largely separately: the (partial) effects on trade of economic integration agreements, international borders, and bilateral distance. First, recent studies focusing on precise and unbiased estimates of effects of economic integration agreements (EIAs) on </vt:lpwstr>
  </property>
  <property fmtid="{D5CDD505-2E9C-101B-9397-08002B2CF9AE}" pid="90" name="ZOTERO_BREF_dRWokNPaLONDLWw4cdqlZ_7">
    <vt:lpwstr>members׳ trade may be biased upward owing to inadequate control for time-varying exogenous unobservable country-pair-specific changes in bilateral export costs (possibly decreasing the costs of international relative to intranational trade); we find evide</vt:lpwstr>
  </property>
  <property fmtid="{D5CDD505-2E9C-101B-9397-08002B2CF9AE}" pid="91" name="ZOTERO_BREF_dRWokNPaLONDLWw4cdqlZ_8">
    <vt:lpwstr>nce of this bias using a properly specified gravity equation. Second, our novel methodology yields statistically significant estimates of the declining effect of “international borders” on world trade, now accounting for endogenous EIA formations and unob</vt:lpwstr>
  </property>
  <property fmtid="{D5CDD505-2E9C-101B-9397-08002B2CF9AE}" pid="92" name="ZOTERO_BREF_dRWokNPaLONDLWw4cdqlZ_9">
    <vt:lpwstr>served country-pair heterogeneity in initial levels. Third, we confirm recent evidence providing a solution to the “distance-elasticity puzzle,” but show that these estimates of the declining effect of distance on international trade are biased upward by </vt:lpwstr>
  </property>
  <property fmtid="{D5CDD505-2E9C-101B-9397-08002B2CF9AE}" pid="93" name="ZOTERO_BREF_dRWokNPaLONDLWw4cdqlZ_10">
    <vt:lpwstr>not accounting for endogenous EIA formations and unobserved country-pair heterogeneity. We conclude our study with numerical general equilibrium comparative statics illustrating a substantive difference on trade effects of EIAs with and without allowance </vt:lpwstr>
  </property>
  <property fmtid="{D5CDD505-2E9C-101B-9397-08002B2CF9AE}" pid="94" name="ZOTERO_BREF_dRWokNPaLONDLWw4cdqlZ_11">
    <vt:lpwstr>for the declining effects of international borders on world trade.","container-title":"European Economic Review","DOI":"10.1016/j.euroecorev.2015.06.003","ISSN":"0014-2921","journalAbbreviation":"European Economic Review","page":"307-327","source":"Scienc</vt:lpwstr>
  </property>
  <property fmtid="{D5CDD505-2E9C-101B-9397-08002B2CF9AE}" pid="95" name="ZOTERO_BREF_dRWokNPaLONDLWw4cdqlZ_12">
    <vt:lpwstr>eDirect","title":"Economic integration agreements, border effects, and distance elasticities in the gravity equation","volume":"78","author":[{"family":"Bergstrand","given":"Jeffrey H."},{"family":"Larch","given":"Mario"},{"family":"Yotov","given":"Yoto V</vt:lpwstr>
  </property>
  <property fmtid="{D5CDD505-2E9C-101B-9397-08002B2CF9AE}" pid="96" name="ZOTERO_BREF_dRWokNPaLONDLWw4cdqlZ_13">
    <vt:lpwstr>."}],"issued":{"date-parts":[["2015",8,1]]}}}],"schema":"https://github.com/citation-style-language/schema/raw/master/csl-citation.json"} </vt:lpwstr>
  </property>
  <property fmtid="{D5CDD505-2E9C-101B-9397-08002B2CF9AE}" pid="97" name="ZOTERO_BREF_piQr9w052em1l3SZKul7V_1">
    <vt:lpwstr>ZOTERO_ITEM CSL_CITATION {"citationID":"NKvlWia8","properties":{"formattedCitation":"(Baier, Yotov and Zylkin, 2019)","plainCitation":"(Baier, Yotov and Zylkin, 2019)","noteIndex":0},"citationItems":[{"id":255,"uris":["http://zotero.org/users/13839746/ite</vt:lpwstr>
  </property>
  <property fmtid="{D5CDD505-2E9C-101B-9397-08002B2CF9AE}" pid="98" name="ZOTERO_BREF_piQr9w052em1l3SZKul7V_2">
    <vt:lpwstr>ms/V876EF3T"],"itemData":{"id":255,"type":"article-journal","abstract":"We develop a novel two stage methodology that allows us to study the empirical determinants of the ex post effects of past free trade agreements (FTAs) as well as obtain ex ante predi</vt:lpwstr>
  </property>
  <property fmtid="{D5CDD505-2E9C-101B-9397-08002B2CF9AE}" pid="99" name="ZOTERO_BREF_piQr9w052em1l3SZKul7V_3">
    <vt:lpwstr>ctions for the effects of future FTAs. We first identify 908 unique estimates of the effects of FTAs on different trading pairs for the years 1986–2006. We then employ these estimates as our dependent variable in a “second stage” analysis characterizing t</vt:lpwstr>
  </property>
  <property fmtid="{D5CDD505-2E9C-101B-9397-08002B2CF9AE}" pid="100" name="ZOTERO_BREF_piQr9w052em1l3SZKul7V_4">
    <vt:lpwstr>he heterogeneity in these effects. Interestingly, most of this heterogeneity (∼2/3) occurs within FTAs (rather than across different FTAs), with asymmetric effects within pairs (on exports vs. imports) also playing an important role. Our second stage anal</vt:lpwstr>
  </property>
  <property fmtid="{D5CDD505-2E9C-101B-9397-08002B2CF9AE}" pid="101" name="ZOTERO_BREF_piQr9w052em1l3SZKul7V_5">
    <vt:lpwstr>ysis provides several intuitive explanations behind these variations. Even within the same agreement, FTA effects are weaker for more distant pairs and for pairs with otherwise high levels of ex ante trade frictions. The effects of new FTAs are similarly </vt:lpwstr>
  </property>
  <property fmtid="{D5CDD505-2E9C-101B-9397-08002B2CF9AE}" pid="102" name="ZOTERO_BREF_piQr9w052em1l3SZKul7V_6">
    <vt:lpwstr>weaker for pairs with existing agreements already in place. In addition, we are able to relate asymmetries in FTA effects to each country's ability to influence the other's terms of trade. Out-of-sample predictions incorporating these insights enable us t</vt:lpwstr>
  </property>
  <property fmtid="{D5CDD505-2E9C-101B-9397-08002B2CF9AE}" pid="103" name="ZOTERO_BREF_piQr9w052em1l3SZKul7V_7">
    <vt:lpwstr>o predict direction-specific effects of future FTAs between any pair of countries. A simulation of the general equilibrium effects of TTIP demonstrates the significance of our methods.","container-title":"Journal of International Economics","DOI":"10.1016</vt:lpwstr>
  </property>
  <property fmtid="{D5CDD505-2E9C-101B-9397-08002B2CF9AE}" pid="104" name="ZOTERO_BREF_piQr9w052em1l3SZKul7V_8">
    <vt:lpwstr>/j.jinteco.2018.11.002","ISSN":"0022-1996","journalAbbreviation":"Journal of International Economics","page":"206-226","source":"ScienceDirect","title":"On the widely differing effects of free trade agreements: Lessons from twenty years of trade integrati</vt:lpwstr>
  </property>
  <property fmtid="{D5CDD505-2E9C-101B-9397-08002B2CF9AE}" pid="105" name="ZOTERO_BREF_piQr9w052em1l3SZKul7V_9">
    <vt:lpwstr>on","title-short":"On the widely differing effects of free trade agreements","volume":"116","author":[{"family":"Baier","given":"Scott L."},{"family":"Yotov","given":"Yoto V."},{"family":"Zylkin","given":"Thomas"}],"issued":{"date-parts":[["2019",1,1]]}}}</vt:lpwstr>
  </property>
  <property fmtid="{D5CDD505-2E9C-101B-9397-08002B2CF9AE}" pid="106" name="ZOTERO_BREF_piQr9w052em1l3SZKul7V_10">
    <vt:lpwstr>],"schema":"https://github.com/citation-style-language/schema/raw/master/csl-citation.json"} </vt:lpwstr>
  </property>
  <property fmtid="{D5CDD505-2E9C-101B-9397-08002B2CF9AE}" pid="107" name="ZOTERO_BREF_KZnZNJOYI9YwOp3OUr1q3_1">
    <vt:lpwstr>ZOTERO_BIBL {"uncited":[],"omitted":[],"custom":[]} CSL_BIBLIOGRAPHY </vt:lpwstr>
  </property>
  <property fmtid="{D5CDD505-2E9C-101B-9397-08002B2CF9AE}" pid="108" name="ZOTERO_BREF_1LuG2Jcioy8q2mP54dgT0_1">
    <vt:lpwstr>ZOTERO_TEMP </vt:lpwstr>
  </property>
</Properties>
</file>