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7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44"/>
          <w:szCs w:val="44"/>
        </w:rPr>
        <w:t xml:space="preserve">Oracle Backup &amp; Recovery</w:t>
      </w:r>
    </w:p>
    <w:p>
      <w:pPr>
        <w:spacing w:after="80"/>
        <w:jc w:val="center"/>
      </w:pPr>
      <w:r>
        <w:rPr>
          <w:rFonts w:ascii="맑은 고딕" w:cs="맑은 고딕" w:eastAsia="맑은 고딕" w:hAnsi="맑은 고딕"/>
          <w:b/>
          <w:bCs/>
          <w:color w:val="C0392B"/>
          <w:sz w:val="30"/>
          <w:szCs w:val="30"/>
        </w:rPr>
        <w:t xml:space="preserve">수료 점검 1일 실습 — 참가자 배포 시트</w:t>
      </w:r>
    </w:p>
    <w:p>
      <w:pPr>
        <w:spacing w:after="600"/>
        <w:jc w:val="center"/>
      </w:pPr>
      <w:r>
        <w:rPr>
          <w:rFonts w:ascii="맑은 고딕" w:cs="맑은 고딕" w:eastAsia="맑은 고딕" w:hAnsi="맑은 고딕"/>
          <w:sz w:val="22"/>
          <w:szCs w:val="22"/>
        </w:rPr>
        <w:t xml:space="preserve">오전 개인 2  ·  오후 조별 2   ·   총 100점</w:t>
      </w:r>
    </w:p>
    <w:p>
      <w:pPr>
        <w:spacing w:after="70"/>
        <w:jc w:val="center"/>
      </w:pPr>
      <w:r>
        <w:rPr>
          <w:rFonts w:ascii="맑은 고딕" w:cs="맑은 고딕" w:eastAsia="맑은 고딕" w:hAnsi="맑은 고딕"/>
          <w:b/>
          <w:bCs/>
          <w:color w:val="555555"/>
          <w:sz w:val="19"/>
          <w:szCs w:val="19"/>
        </w:rPr>
        <w:t xml:space="preserve">대상 : </w:t>
      </w:r>
      <w:r>
        <w:rPr>
          <w:rFonts w:ascii="맑은 고딕" w:cs="맑은 고딕" w:eastAsia="맑은 고딕" w:hAnsi="맑은 고딕"/>
          <w:sz w:val="19"/>
          <w:szCs w:val="19"/>
        </w:rPr>
        <w:t xml:space="preserve">Oracle Database 19c B&amp;R 기본 19장 이수자</w:t>
      </w:r>
    </w:p>
    <w:p>
      <w:pPr>
        <w:spacing w:after="70"/>
        <w:jc w:val="center"/>
      </w:pPr>
      <w:r>
        <w:rPr>
          <w:rFonts w:ascii="맑은 고딕" w:cs="맑은 고딕" w:eastAsia="맑은 고딕" w:hAnsi="맑은 고딕"/>
          <w:b/>
          <w:bCs/>
          <w:color w:val="555555"/>
          <w:sz w:val="19"/>
          <w:szCs w:val="19"/>
        </w:rPr>
        <w:t xml:space="preserve">안내 : </w:t>
      </w:r>
      <w:r>
        <w:rPr>
          <w:rFonts w:ascii="맑은 고딕" w:cs="맑은 고딕" w:eastAsia="맑은 고딕" w:hAnsi="맑은 고딕"/>
          <w:sz w:val="19"/>
          <w:szCs w:val="19"/>
        </w:rPr>
        <w:t xml:space="preserve">각 시나리오는 '진단 → 복구 유형 판정 → 복구 → 검증' 순으로 스스로 수행한다. 모범 답안·복구 명령은 제공하지 않는다.</w:t>
      </w:r>
    </w:p>
    <w:p>
      <w:pPr>
        <w:spacing w:after="70"/>
        <w:jc w:val="center"/>
      </w:pPr>
      <w:r>
        <w:rPr>
          <w:rFonts w:ascii="맑은 고딕" w:cs="맑은 고딕" w:eastAsia="맑은 고딕" w:hAnsi="맑은 고딕"/>
          <w:b/>
          <w:bCs/>
          <w:color w:val="555555"/>
          <w:sz w:val="19"/>
          <w:szCs w:val="19"/>
        </w:rPr>
        <w:t xml:space="preserve">환경 : </w:t>
      </w:r>
      <w:r>
        <w:rPr>
          <w:rFonts w:ascii="맑은 고딕" w:cs="맑은 고딕" w:eastAsia="맑은 고딕" w:hAnsi="맑은 고딕"/>
          <w:sz w:val="19"/>
          <w:szCs w:val="19"/>
        </w:rPr>
        <w:t xml:space="preserve">orcl 19c non-CDB · ARCHIVELOG · RMAN + Recovery Catalog · FRA · 컨트롤파일 오토백업 ON</w:t>
      </w:r>
    </w:p>
    <w:p>
      <w:r>
        <w:br w:type="page"/>
      </w:r>
    </w:p>
    <w:p>
      <w:pPr>
        <w:pStyle w:val="Heading1"/>
        <w:spacing w:after="100" w:before="2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진행 안내</w:t>
      </w:r>
    </w:p>
    <w:p>
      <w:pPr>
        <w:pBdr>
          <w:top w:val="single" w:color="BBBBBB" w:sz="4"/>
          <w:left w:val="single" w:color="BBBBBB" w:sz="4"/>
          <w:bottom w:val="single" w:color="BBBBBB" w:sz="4"/>
          <w:right w:val="single" w:color="BBBBBB" w:sz="4"/>
        </w:pBdr>
        <w:shd w:fill="E8F0E3" w:val="clear"/>
        <w:spacing w:after="110" w:before="60" w:line="264"/>
      </w:pPr>
      <w:r>
        <w:rPr>
          <w:rFonts w:ascii="맑은 고딕" w:cs="맑은 고딕" w:eastAsia="맑은 고딕" w:hAnsi="맑은 고딕"/>
          <w:b/>
          <w:bCs/>
          <w:color w:val="1F3864"/>
          <w:sz w:val="19"/>
          <w:szCs w:val="19"/>
        </w:rPr>
        <w:t xml:space="preserve">진행 원칙  </w:t>
      </w:r>
      <w:r>
        <w:rPr>
          <w:rFonts w:ascii="맑은 고딕" w:cs="맑은 고딕" w:eastAsia="맑은 고딕" w:hAnsi="맑은 고딕"/>
          <w:sz w:val="19"/>
          <w:szCs w:val="19"/>
        </w:rPr>
        <w:t xml:space="preserve">손대기 전에 반드시 ① 무엇이 어디까지 손실됐는지 진단하고 ② 복구 유형을 '선언'한 뒤 복구에 착수한다. 성공 기준은 'DB 오픈 + 데이터 정합성 검증'이다.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제출물(공통): 진단 결과 · 선택한 전략과 근거 · 실행한 명령 순서 · 검증 결과(건수·상태)를 캡처/기록해 제출한다.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공통 감점: ① 진단·전략 선언 없이 곧바로 명령 −2  ② 손실이 없는데 불필요한 DB 전체 shutdown/재복원 −2  ③ 복구 후 검증 생략 시 해당 검증 배점 0.</w:t>
      </w:r>
    </w:p>
    <w:p>
      <w:pPr>
        <w:pStyle w:val="Heading2"/>
        <w:spacing w:after="100" w:before="170"/>
      </w:pPr>
      <w:r>
        <w:rPr>
          <w:rFonts w:ascii="맑은 고딕" w:cs="맑은 고딕" w:eastAsia="맑은 고딕" w:hAnsi="맑은 고딕"/>
          <w:b/>
          <w:bCs/>
          <w:color w:val="C0392B"/>
          <w:sz w:val="24"/>
          <w:szCs w:val="24"/>
        </w:rPr>
        <w:t xml:space="preserve">시간표</w:t>
      </w:r>
    </w:p>
    <w:tbl>
      <w:tblPr>
        <w:tblW w:type="dxa" w:w="902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AAAAA" w:sz="4"/>
          <w:insideV w:val="single" w:color="AAAAAA" w:sz="4"/>
        </w:tblBorders>
      </w:tblPr>
      <w:tblGrid>
        <w:gridCol w:w="1500"/>
        <w:gridCol w:w="5720"/>
        <w:gridCol w:w="1800"/>
      </w:tblGrid>
      <w:tr>
        <w:trPr>
          <w:tblHeader/>
        </w:trPr>
        <w:tc>
          <w:tcPr>
            <w:tcW w:type="dxa" w:w="150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시간</w:t>
            </w:r>
          </w:p>
        </w:tc>
        <w:tc>
          <w:tcPr>
            <w:tcW w:type="dxa" w:w="572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내용</w:t>
            </w:r>
          </w:p>
        </w:tc>
        <w:tc>
          <w:tcPr>
            <w:tcW w:type="dxa" w:w="180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형태</w:t>
            </w:r>
          </w:p>
        </w:tc>
      </w:tr>
      <w:tr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09:00–09:30</w:t>
            </w:r>
          </w:p>
        </w:tc>
        <w:tc>
          <w:tcPr>
            <w:tcW w:type="dxa" w:w="57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오리엔테이션 + 복구 전략 판단표 복습</w:t>
            </w:r>
          </w:p>
        </w:tc>
        <w:tc>
          <w:tcPr>
            <w:tcW w:type="dxa" w:w="18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</w:t>
            </w:r>
          </w:p>
        </w:tc>
      </w:tr>
      <w:tr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09:30–11:00</w:t>
            </w:r>
          </w:p>
        </w:tc>
        <w:tc>
          <w:tcPr>
            <w:tcW w:type="dxa" w:w="57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 1 (90분)</w:t>
            </w:r>
          </w:p>
        </w:tc>
        <w:tc>
          <w:tcPr>
            <w:tcW w:type="dxa" w:w="18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</w:t>
            </w:r>
          </w:p>
        </w:tc>
      </w:tr>
      <w:tr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11:00–12:30</w:t>
            </w:r>
          </w:p>
        </w:tc>
        <w:tc>
          <w:tcPr>
            <w:tcW w:type="dxa" w:w="57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 2 (90분)</w:t>
            </w:r>
          </w:p>
        </w:tc>
        <w:tc>
          <w:tcPr>
            <w:tcW w:type="dxa" w:w="18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</w:t>
            </w:r>
          </w:p>
        </w:tc>
      </w:tr>
      <w:tr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12:30–13:30</w:t>
            </w:r>
          </w:p>
        </w:tc>
        <w:tc>
          <w:tcPr>
            <w:tcW w:type="dxa" w:w="57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점심</w:t>
            </w:r>
          </w:p>
        </w:tc>
        <w:tc>
          <w:tcPr>
            <w:tcW w:type="dxa" w:w="18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13:30–15:10</w:t>
            </w:r>
          </w:p>
        </w:tc>
        <w:tc>
          <w:tcPr>
            <w:tcW w:type="dxa" w:w="57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조별 1 (100분)</w:t>
            </w:r>
          </w:p>
        </w:tc>
        <w:tc>
          <w:tcPr>
            <w:tcW w:type="dxa" w:w="18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조별</w:t>
            </w:r>
          </w:p>
        </w:tc>
      </w:tr>
      <w:tr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15:20–17:00</w:t>
            </w:r>
          </w:p>
        </w:tc>
        <w:tc>
          <w:tcPr>
            <w:tcW w:type="dxa" w:w="57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조별 2 — 경진 (100분)</w:t>
            </w:r>
          </w:p>
        </w:tc>
        <w:tc>
          <w:tcPr>
            <w:tcW w:type="dxa" w:w="18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조별</w:t>
            </w:r>
          </w:p>
        </w:tc>
      </w:tr>
      <w:tr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17:00–17:30</w:t>
            </w:r>
          </w:p>
        </w:tc>
        <w:tc>
          <w:tcPr>
            <w:tcW w:type="dxa" w:w="57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디브리핑</w:t>
            </w:r>
          </w:p>
        </w:tc>
        <w:tc>
          <w:tcPr>
            <w:tcW w:type="dxa" w:w="18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</w:t>
            </w:r>
          </w:p>
        </w:tc>
      </w:tr>
    </w:tbl>
    <w:p>
      <w:pPr>
        <w:pStyle w:val="Heading2"/>
        <w:spacing w:after="100" w:before="170"/>
      </w:pPr>
      <w:r>
        <w:rPr>
          <w:rFonts w:ascii="맑은 고딕" w:cs="맑은 고딕" w:eastAsia="맑은 고딕" w:hAnsi="맑은 고딕"/>
          <w:b/>
          <w:bCs/>
          <w:color w:val="C0392B"/>
          <w:sz w:val="24"/>
          <w:szCs w:val="24"/>
        </w:rPr>
        <w:t xml:space="preserve">복구 전략 판단표 (참고)</w:t>
      </w:r>
    </w:p>
    <w:p>
      <w:pPr>
        <w:spacing w:after="90" w:before="0" w:line="276"/>
      </w:pPr>
      <w:r>
        <w:rPr>
          <w:rFonts w:ascii="맑은 고딕" w:cs="맑은 고딕" w:eastAsia="맑은 고딕" w:hAnsi="맑은 고딕"/>
          <w:sz w:val="19"/>
          <w:szCs w:val="19"/>
        </w:rPr>
        <w:t xml:space="preserve">장애 유형별로 데이터 손실 여부를 먼저 판정하고 복구 유형을 고른다. 어떤 시나리오가 어디에 해당하는지는 직접 판단한다.</w:t>
      </w:r>
    </w:p>
    <w:tbl>
      <w:tblPr>
        <w:tblW w:type="dxa" w:w="902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AAAAA" w:sz="4"/>
          <w:insideV w:val="single" w:color="AAAAAA" w:sz="4"/>
        </w:tblBorders>
      </w:tblPr>
      <w:tblGrid>
        <w:gridCol w:w="5000"/>
        <w:gridCol w:w="1400"/>
        <w:gridCol w:w="2620"/>
      </w:tblGrid>
      <w:tr>
        <w:trPr>
          <w:tblHeader/>
        </w:trPr>
        <w:tc>
          <w:tcPr>
            <w:tcW w:type="dxa" w:w="500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장애 대상</w:t>
            </w:r>
          </w:p>
        </w:tc>
        <w:tc>
          <w:tcPr>
            <w:tcW w:type="dxa" w:w="140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손실</w:t>
            </w:r>
          </w:p>
        </w:tc>
        <w:tc>
          <w:tcPr>
            <w:tcW w:type="dxa" w:w="262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복구 유형</w:t>
            </w:r>
          </w:p>
        </w:tc>
      </w:tr>
      <w:tr>
        <w:tc>
          <w:tcPr>
            <w:tcW w:type="dxa" w:w="5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비-SYSTEM 데이터파일 (아카이브 온전)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없음</w:t>
            </w:r>
          </w:p>
        </w:tc>
        <w:tc>
          <w:tcPr>
            <w:tcW w:type="dxa" w:w="2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완전복구(온라인)</w:t>
            </w:r>
          </w:p>
        </w:tc>
      </w:tr>
      <w:tr>
        <w:tc>
          <w:tcPr>
            <w:tcW w:type="dxa" w:w="5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SYSTEM/UNDO 데이터파일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없음</w:t>
            </w:r>
          </w:p>
        </w:tc>
        <w:tc>
          <w:tcPr>
            <w:tcW w:type="dxa" w:w="2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완전복구(마운트)</w:t>
            </w:r>
          </w:p>
        </w:tc>
      </w:tr>
      <w:tr>
        <w:tc>
          <w:tcPr>
            <w:tcW w:type="dxa" w:w="5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사용자 실수 (DROP / 잘못된 DML)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국소</w:t>
            </w:r>
          </w:p>
        </w:tc>
        <w:tc>
          <w:tcPr>
            <w:tcW w:type="dxa" w:w="2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Flashback 우선</w:t>
            </w:r>
          </w:p>
        </w:tc>
      </w:tr>
      <w:tr>
        <w:tc>
          <w:tcPr>
            <w:tcW w:type="dxa" w:w="5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INACTIVE 리두로그 손실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없음</w:t>
            </w:r>
          </w:p>
        </w:tc>
        <w:tc>
          <w:tcPr>
            <w:tcW w:type="dxa" w:w="2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무손실 정리(CLEAR)</w:t>
            </w:r>
          </w:p>
        </w:tc>
      </w:tr>
      <w:tr>
        <w:tc>
          <w:tcPr>
            <w:tcW w:type="dxa" w:w="5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CURRENT 리두로그 손실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있음</w:t>
            </w:r>
          </w:p>
        </w:tc>
        <w:tc>
          <w:tcPr>
            <w:tcW w:type="dxa" w:w="2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불완전복구(RESETLOGS)</w:t>
            </w:r>
          </w:p>
        </w:tc>
      </w:tr>
      <w:tr>
        <w:tc>
          <w:tcPr>
            <w:tcW w:type="dxa" w:w="5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컨트롤파일 전체 손실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상황별</w:t>
            </w:r>
          </w:p>
        </w:tc>
        <w:tc>
          <w:tcPr>
            <w:tcW w:type="dxa" w:w="2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오토백업 복원</w:t>
            </w:r>
          </w:p>
        </w:tc>
      </w:tr>
      <w:tr>
        <w:tc>
          <w:tcPr>
            <w:tcW w:type="dxa" w:w="5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블록 손상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국소</w:t>
            </w:r>
          </w:p>
        </w:tc>
        <w:tc>
          <w:tcPr>
            <w:tcW w:type="dxa" w:w="2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BMR(온라인)</w:t>
            </w:r>
          </w:p>
        </w:tc>
      </w:tr>
      <w:tr>
        <w:tc>
          <w:tcPr>
            <w:tcW w:type="dxa" w:w="5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서버 전체 상실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상황별</w:t>
            </w:r>
          </w:p>
        </w:tc>
        <w:tc>
          <w:tcPr>
            <w:tcW w:type="dxa" w:w="2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재해복구/복제</w:t>
            </w:r>
          </w:p>
        </w:tc>
      </w:tr>
      <w:tr>
        <w:tc>
          <w:tcPr>
            <w:tcW w:type="dxa" w:w="5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스키마·버전 이관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논리 백업(expdp/impdp)</w:t>
            </w:r>
          </w:p>
        </w:tc>
      </w:tr>
    </w:tbl>
    <w:p>
      <w:r>
        <w:br w:type="page"/>
      </w:r>
    </w:p>
    <w:p>
      <w:pPr>
        <w:pStyle w:val="Heading1"/>
        <w:spacing w:after="100" w:before="2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개인 1 — 업무 테이블스페이스 데이터파일 장애 · 20점</w:t>
      </w:r>
    </w:p>
    <w:p>
      <w:pPr>
        <w:pStyle w:val="Heading2"/>
        <w:spacing w:after="100" w:before="170"/>
      </w:pPr>
      <w:r>
        <w:rPr>
          <w:rFonts w:ascii="맑은 고딕" w:cs="맑은 고딕" w:eastAsia="맑은 고딕" w:hAnsi="맑은 고딕"/>
          <w:b/>
          <w:bCs/>
          <w:color w:val="C0392B"/>
          <w:sz w:val="24"/>
          <w:szCs w:val="24"/>
        </w:rPr>
        <w:t xml:space="preserve">상황</w:t>
      </w:r>
    </w:p>
    <w:p>
      <w:pPr>
        <w:spacing w:after="7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DB는 ARCHIVELOG 모드로 정상 운영 중이었다. 특정 업무 테이블스페이스의 표를 조회하자 ORA-01116 / ORA-01110(데이터파일 접근 불가)가 발생한다. 인스턴스는 아직 열려 있다.</w:t>
      </w:r>
    </w:p>
    <w:p>
      <w:pPr>
        <w:pStyle w:val="Heading2"/>
        <w:spacing w:after="100" w:before="170"/>
      </w:pPr>
      <w:r>
        <w:rPr>
          <w:rFonts w:ascii="맑은 고딕" w:cs="맑은 고딕" w:eastAsia="맑은 고딕" w:hAnsi="맑은 고딕"/>
          <w:b/>
          <w:bCs/>
          <w:color w:val="C0392B"/>
          <w:sz w:val="24"/>
          <w:szCs w:val="24"/>
        </w:rPr>
        <w:t xml:space="preserve">과제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① 어느 파일이 어떤 상태이고 데이터 손실이 있는지 진단하라.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② 복구 유형을 판정하고 근거를 말하라.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③ 서비스 영향을 최소화하는 방식으로 복구하라.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④ 복구 후 대상 표의 건수·정합성을 검증하라.</w:t>
      </w:r>
    </w:p>
    <w:p>
      <w:pPr>
        <w:pStyle w:val="Heading2"/>
        <w:spacing w:after="100" w:before="170"/>
      </w:pPr>
      <w:r>
        <w:rPr>
          <w:rFonts w:ascii="맑은 고딕" w:cs="맑은 고딕" w:eastAsia="맑은 고딕" w:hAnsi="맑은 고딕"/>
          <w:b/>
          <w:bCs/>
          <w:color w:val="C0392B"/>
          <w:sz w:val="24"/>
          <w:szCs w:val="24"/>
        </w:rPr>
        <w:t xml:space="preserve">제출물</w:t>
      </w:r>
    </w:p>
    <w:p>
      <w:p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진단 근거 · 선택한 복구 유형과 이유 · 실행 명령 순서 · 검증 결과(건수·TS 상태) 캡처.</w:t>
      </w:r>
    </w:p>
    <w:p>
      <w:pPr>
        <w:pStyle w:val="Heading2"/>
        <w:spacing w:after="100" w:before="170"/>
      </w:pPr>
      <w:r>
        <w:rPr>
          <w:rFonts w:ascii="맑은 고딕" w:cs="맑은 고딕" w:eastAsia="맑은 고딕" w:hAnsi="맑은 고딕"/>
          <w:b/>
          <w:bCs/>
          <w:color w:val="C0392B"/>
          <w:sz w:val="24"/>
          <w:szCs w:val="24"/>
        </w:rPr>
        <w:t xml:space="preserve">채점 기준 (20점)</w:t>
      </w:r>
    </w:p>
    <w:tbl>
      <w:tblPr>
        <w:tblW w:type="dxa" w:w="902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AAAAA" w:sz="4"/>
          <w:insideV w:val="single" w:color="AAAAAA" w:sz="4"/>
        </w:tblBorders>
      </w:tblPr>
      <w:tblGrid>
        <w:gridCol w:w="620"/>
        <w:gridCol w:w="7000"/>
        <w:gridCol w:w="1400"/>
      </w:tblGrid>
      <w:tr>
        <w:trPr>
          <w:tblHeader/>
        </w:trPr>
        <w:tc>
          <w:tcPr>
            <w:tcW w:type="dxa" w:w="62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#</w:t>
            </w:r>
          </w:p>
        </w:tc>
        <w:tc>
          <w:tcPr>
            <w:tcW w:type="dxa" w:w="700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점검 포인트</w:t>
            </w:r>
          </w:p>
        </w:tc>
        <w:tc>
          <w:tcPr>
            <w:tcW w:type="dxa" w:w="140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배점</w:t>
            </w:r>
          </w:p>
        </w:tc>
      </w:tr>
      <w:tr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7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장애 진단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7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복구 유형 판정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7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서비스 영향 최소화 전략 선택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7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복구 수행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</w:tr>
      <w:tr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7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검증(정합성)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7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판단 근거 진술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</w:tbl>
    <w:p>
      <w:r>
        <w:br w:type="page"/>
      </w:r>
    </w:p>
    <w:p>
      <w:pPr>
        <w:pStyle w:val="Heading1"/>
        <w:spacing w:after="100" w:before="2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개인 2 — 사용자 실수 데이터 복원 · 25점</w:t>
      </w:r>
    </w:p>
    <w:p>
      <w:pPr>
        <w:pStyle w:val="Heading2"/>
        <w:spacing w:after="100" w:before="170"/>
      </w:pPr>
      <w:r>
        <w:rPr>
          <w:rFonts w:ascii="맑은 고딕" w:cs="맑은 고딕" w:eastAsia="맑은 고딕" w:hAnsi="맑은 고딕"/>
          <w:b/>
          <w:bCs/>
          <w:color w:val="C0392B"/>
          <w:sz w:val="24"/>
          <w:szCs w:val="24"/>
        </w:rPr>
        <w:t xml:space="preserve">상황</w:t>
      </w:r>
    </w:p>
    <w:p>
      <w:pPr>
        <w:spacing w:after="7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운영 중 담당자가 잘못된 작업으로 특정 표의 데이터를 훼손했다(대량 오변경 후 커밋, 또는 표 DROP). 사고 시각은 대략 알지만 정확한 시점은 직접 찾아야 한다. DB는 정상 운영 중이다.</w:t>
      </w:r>
    </w:p>
    <w:p>
      <w:pPr>
        <w:pStyle w:val="Heading2"/>
        <w:spacing w:after="100" w:before="170"/>
      </w:pPr>
      <w:r>
        <w:rPr>
          <w:rFonts w:ascii="맑은 고딕" w:cs="맑은 고딕" w:eastAsia="맑은 고딕" w:hAnsi="맑은 고딕"/>
          <w:b/>
          <w:bCs/>
          <w:color w:val="C0392B"/>
          <w:sz w:val="24"/>
          <w:szCs w:val="24"/>
        </w:rPr>
        <w:t xml:space="preserve">과제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① 무엇이 언제 훼손됐는지, 영향 범위를 진단하라.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② 손실·다운타임이 가장 작은 복구 방법을 선택하고 근거를 대라.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③ 목표 시점을 특정해 복구하라.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④ 사고 이후의 정당한 데이터에 미친 영향까지 함께 보고하라.</w:t>
      </w:r>
    </w:p>
    <w:p>
      <w:pPr>
        <w:pStyle w:val="Heading2"/>
        <w:spacing w:after="100" w:before="170"/>
      </w:pPr>
      <w:r>
        <w:rPr>
          <w:rFonts w:ascii="맑은 고딕" w:cs="맑은 고딕" w:eastAsia="맑은 고딕" w:hAnsi="맑은 고딕"/>
          <w:b/>
          <w:bCs/>
          <w:color w:val="C0392B"/>
          <w:sz w:val="24"/>
          <w:szCs w:val="24"/>
        </w:rPr>
        <w:t xml:space="preserve">제출물</w:t>
      </w:r>
    </w:p>
    <w:p>
      <w:p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진단 결과 · 후보 전략 비교와 선택 이유 · 특정한 목표 시점 · 실행 명령 · 복원 검증 결과 캡처.</w:t>
      </w:r>
    </w:p>
    <w:p>
      <w:pPr>
        <w:pStyle w:val="Heading2"/>
        <w:spacing w:after="100" w:before="170"/>
      </w:pPr>
      <w:r>
        <w:rPr>
          <w:rFonts w:ascii="맑은 고딕" w:cs="맑은 고딕" w:eastAsia="맑은 고딕" w:hAnsi="맑은 고딕"/>
          <w:b/>
          <w:bCs/>
          <w:color w:val="C0392B"/>
          <w:sz w:val="24"/>
          <w:szCs w:val="24"/>
        </w:rPr>
        <w:t xml:space="preserve">채점 기준 (25점)</w:t>
      </w:r>
    </w:p>
    <w:tbl>
      <w:tblPr>
        <w:tblW w:type="dxa" w:w="902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AAAAA" w:sz="4"/>
          <w:insideV w:val="single" w:color="AAAAAA" w:sz="4"/>
        </w:tblBorders>
      </w:tblPr>
      <w:tblGrid>
        <w:gridCol w:w="620"/>
        <w:gridCol w:w="7000"/>
        <w:gridCol w:w="1400"/>
      </w:tblGrid>
      <w:tr>
        <w:trPr>
          <w:tblHeader/>
        </w:trPr>
        <w:tc>
          <w:tcPr>
            <w:tcW w:type="dxa" w:w="62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#</w:t>
            </w:r>
          </w:p>
        </w:tc>
        <w:tc>
          <w:tcPr>
            <w:tcW w:type="dxa" w:w="700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점검 포인트</w:t>
            </w:r>
          </w:p>
        </w:tc>
        <w:tc>
          <w:tcPr>
            <w:tcW w:type="dxa" w:w="140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배점</w:t>
            </w:r>
          </w:p>
        </w:tc>
      </w:tr>
      <w:tr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7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장애 진단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7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전략 비교·선택(근거)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</w:tr>
      <w:tr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7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목표 시점 특정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7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복구 수행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</w:tr>
      <w:tr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7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후속 처리 인지(필요 시)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7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검증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7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부작용 인지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</w:tbl>
    <w:p>
      <w:r>
        <w:br w:type="page"/>
      </w:r>
    </w:p>
    <w:p>
      <w:pPr>
        <w:pStyle w:val="Heading1"/>
        <w:spacing w:after="100" w:before="2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조별 1 — 복합 장애: 리두로그·컨트롤파일·블록 · 30점</w:t>
      </w:r>
    </w:p>
    <w:p>
      <w:pPr>
        <w:pStyle w:val="Heading2"/>
        <w:spacing w:after="100" w:before="170"/>
      </w:pPr>
      <w:r>
        <w:rPr>
          <w:rFonts w:ascii="맑은 고딕" w:cs="맑은 고딕" w:eastAsia="맑은 고딕" w:hAnsi="맑은 고딕"/>
          <w:b/>
          <w:bCs/>
          <w:color w:val="C0392B"/>
          <w:sz w:val="24"/>
          <w:szCs w:val="24"/>
        </w:rPr>
        <w:t xml:space="preserve">상황</w:t>
      </w:r>
    </w:p>
    <w:p>
      <w:pPr>
        <w:spacing w:after="7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야간 배치 중 스토리지 사고로 여러 파일이 동시에 사라졌다. 인스턴스는 비정상 종료됐고, 기동을 시도하면 컨트롤파일을 찾지 못한다. 확인 결과 특정 리두로그 그룹과 컨트롤파일이 모두 없어졌다.</w:t>
      </w:r>
    </w:p>
    <w:p>
      <w:pPr>
        <w:spacing w:after="7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복구해 오픈한 뒤, 한 데이터파일의 일부 블록이 손상된 것도 발견된다.</w:t>
      </w:r>
    </w:p>
    <w:p>
      <w:pPr>
        <w:pStyle w:val="Heading2"/>
        <w:spacing w:after="100" w:before="170"/>
      </w:pPr>
      <w:r>
        <w:rPr>
          <w:rFonts w:ascii="맑은 고딕" w:cs="맑은 고딕" w:eastAsia="맑은 고딕" w:hAnsi="맑은 고딕"/>
          <w:b/>
          <w:bCs/>
          <w:color w:val="C0392B"/>
          <w:sz w:val="24"/>
          <w:szCs w:val="24"/>
        </w:rPr>
        <w:t xml:space="preserve">과제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① 손실 범위를 진단하고, 데이터 손실이 불가피한지 판정하라.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② 인스턴스를 복구해 오픈하라.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③ 이후 발견된 블록 손상을 서비스 중단 없이 복구하라.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④ 복구 완료 후 필요한 후속 조치를 취하라.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※ 팀은 진단자·실행자·검증자로 역할을 나누고, 결정 로그(무엇을 왜 그 순서로)를 남긴다.</w:t>
      </w:r>
    </w:p>
    <w:p>
      <w:pPr>
        <w:pStyle w:val="Heading2"/>
        <w:spacing w:after="100" w:before="170"/>
      </w:pPr>
      <w:r>
        <w:rPr>
          <w:rFonts w:ascii="맑은 고딕" w:cs="맑은 고딕" w:eastAsia="맑은 고딕" w:hAnsi="맑은 고딕"/>
          <w:b/>
          <w:bCs/>
          <w:color w:val="C0392B"/>
          <w:sz w:val="24"/>
          <w:szCs w:val="24"/>
        </w:rPr>
        <w:t xml:space="preserve">제출물</w:t>
      </w:r>
    </w:p>
    <w:p>
      <w:p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손실 범위 판정 · 복구·오픈 과정 명령 · 블록 손상 대응 · 후속 조치 · 팀 결정 로그 제출.</w:t>
      </w:r>
    </w:p>
    <w:p>
      <w:pPr>
        <w:pStyle w:val="Heading2"/>
        <w:spacing w:after="100" w:before="170"/>
      </w:pPr>
      <w:r>
        <w:rPr>
          <w:rFonts w:ascii="맑은 고딕" w:cs="맑은 고딕" w:eastAsia="맑은 고딕" w:hAnsi="맑은 고딕"/>
          <w:b/>
          <w:bCs/>
          <w:color w:val="C0392B"/>
          <w:sz w:val="24"/>
          <w:szCs w:val="24"/>
        </w:rPr>
        <w:t xml:space="preserve">채점 기준 (30점)</w:t>
      </w:r>
    </w:p>
    <w:tbl>
      <w:tblPr>
        <w:tblW w:type="dxa" w:w="902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AAAAA" w:sz="4"/>
          <w:insideV w:val="single" w:color="AAAAAA" w:sz="4"/>
        </w:tblBorders>
      </w:tblPr>
      <w:tblGrid>
        <w:gridCol w:w="620"/>
        <w:gridCol w:w="7000"/>
        <w:gridCol w:w="1400"/>
      </w:tblGrid>
      <w:tr>
        <w:trPr>
          <w:tblHeader/>
        </w:trPr>
        <w:tc>
          <w:tcPr>
            <w:tcW w:type="dxa" w:w="62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#</w:t>
            </w:r>
          </w:p>
        </w:tc>
        <w:tc>
          <w:tcPr>
            <w:tcW w:type="dxa" w:w="700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점검 포인트</w:t>
            </w:r>
          </w:p>
        </w:tc>
        <w:tc>
          <w:tcPr>
            <w:tcW w:type="dxa" w:w="140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배점</w:t>
            </w:r>
          </w:p>
        </w:tc>
      </w:tr>
      <w:tr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7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장애 범위 진단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7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복구 유형 판정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7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컨트롤파일 복원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</w:tr>
      <w:tr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7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불완전복구·오픈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</w:tr>
      <w:tr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7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블록 손상 대응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</w:tr>
      <w:tr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7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검증·후속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7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협업·결정 로그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</w:tbl>
    <w:p>
      <w:r>
        <w:br w:type="page"/>
      </w:r>
    </w:p>
    <w:p>
      <w:pPr>
        <w:pStyle w:val="Heading1"/>
        <w:spacing w:after="100" w:before="2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조별 2 — 재해복구 경진: 서버 전체 상실 · 25점</w:t>
      </w:r>
    </w:p>
    <w:p>
      <w:pPr>
        <w:pStyle w:val="Heading2"/>
        <w:spacing w:after="100" w:before="170"/>
      </w:pPr>
      <w:r>
        <w:rPr>
          <w:rFonts w:ascii="맑은 고딕" w:cs="맑은 고딕" w:eastAsia="맑은 고딕" w:hAnsi="맑은 고딕"/>
          <w:b/>
          <w:bCs/>
          <w:color w:val="C0392B"/>
          <w:sz w:val="24"/>
          <w:szCs w:val="24"/>
        </w:rPr>
        <w:t xml:space="preserve">상황</w:t>
      </w:r>
    </w:p>
    <w:p>
      <w:pPr>
        <w:spacing w:after="7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운영 서버 전체가 사용 불능이 됐다. 새 호스트와 기존 RMAN 백업(오토백업 포함)만 주어지고, 원본 인스턴스에는 접근할 수 없다. 정해진 RTO 안에 데이터베이스를 새 호스트에서 다시 열어야 한다.</w:t>
      </w:r>
    </w:p>
    <w:p>
      <w:pPr>
        <w:spacing w:after="7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추가로, 지정된 스키마를 지정 버전 대상 환경으로 논리 이관하라. — 팀별 정확도·복구 시간(RTO)으로 경진한다.</w:t>
      </w:r>
    </w:p>
    <w:p>
      <w:pPr>
        <w:pStyle w:val="Heading2"/>
        <w:spacing w:after="100" w:before="170"/>
      </w:pPr>
      <w:r>
        <w:rPr>
          <w:rFonts w:ascii="맑은 고딕" w:cs="맑은 고딕" w:eastAsia="맑은 고딕" w:hAnsi="맑은 고딕"/>
          <w:b/>
          <w:bCs/>
          <w:color w:val="C0392B"/>
          <w:sz w:val="24"/>
          <w:szCs w:val="24"/>
        </w:rPr>
        <w:t xml:space="preserve">과제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① 재구축에 필요한 정보(DBID·DB 구조·백업 위치)를 확보하라.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② 새 호스트에 인스턴스를 복원·복구해 오픈하라(또는 복제).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③ 지정 스키마를 버전 호환 방식으로 논리 이관하라.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④ 복구 소요시간(RTO)을 측정·기록하라.</w:t>
      </w:r>
    </w:p>
    <w:p>
      <w:pPr>
        <w:pStyle w:val="Heading2"/>
        <w:spacing w:after="100" w:before="170"/>
      </w:pPr>
      <w:r>
        <w:rPr>
          <w:rFonts w:ascii="맑은 고딕" w:cs="맑은 고딕" w:eastAsia="맑은 고딕" w:hAnsi="맑은 고딕"/>
          <w:b/>
          <w:bCs/>
          <w:color w:val="C0392B"/>
          <w:sz w:val="24"/>
          <w:szCs w:val="24"/>
        </w:rPr>
        <w:t xml:space="preserve">제출물</w:t>
      </w:r>
    </w:p>
    <w:p>
      <w:p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확보한 정보 · 복원·복구·오픈 명령 순서 · 논리 이관 결과 · 정합성 검증 · RTO 기록 제출.</w:t>
      </w:r>
    </w:p>
    <w:p>
      <w:pPr>
        <w:pStyle w:val="Heading2"/>
        <w:spacing w:after="100" w:before="170"/>
      </w:pPr>
      <w:r>
        <w:rPr>
          <w:rFonts w:ascii="맑은 고딕" w:cs="맑은 고딕" w:eastAsia="맑은 고딕" w:hAnsi="맑은 고딕"/>
          <w:b/>
          <w:bCs/>
          <w:color w:val="C0392B"/>
          <w:sz w:val="24"/>
          <w:szCs w:val="24"/>
        </w:rPr>
        <w:t xml:space="preserve">채점 기준 (25점)</w:t>
      </w:r>
    </w:p>
    <w:tbl>
      <w:tblPr>
        <w:tblW w:type="dxa" w:w="902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AAAAA" w:sz="4"/>
          <w:insideV w:val="single" w:color="AAAAAA" w:sz="4"/>
        </w:tblBorders>
      </w:tblPr>
      <w:tblGrid>
        <w:gridCol w:w="620"/>
        <w:gridCol w:w="7000"/>
        <w:gridCol w:w="1400"/>
      </w:tblGrid>
      <w:tr>
        <w:trPr>
          <w:tblHeader/>
        </w:trPr>
        <w:tc>
          <w:tcPr>
            <w:tcW w:type="dxa" w:w="62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#</w:t>
            </w:r>
          </w:p>
        </w:tc>
        <w:tc>
          <w:tcPr>
            <w:tcW w:type="dxa" w:w="700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점검 포인트</w:t>
            </w:r>
          </w:p>
        </w:tc>
        <w:tc>
          <w:tcPr>
            <w:tcW w:type="dxa" w:w="140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배점</w:t>
            </w:r>
          </w:p>
        </w:tc>
      </w:tr>
      <w:tr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7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사전 정보 확보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7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기동 준비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7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컨트롤파일 복원·마운트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7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복원·복구·오픈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</w:tr>
      <w:tr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7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논리 이관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7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검증·RTO 기록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7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경진 평가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</w:tbl>
    <w:sectPr>
      <w:footerReference w:type="default" r:id="rId6"/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B&amp;R 수료 점검 1일 실습 — 참가자 시트   ·   </w:t>
    </w:r>
    <w:r>
      <w:rPr>
        <w:rFonts w:ascii="맑은 고딕" w:cs="맑은 고딕" w:eastAsia="맑은 고딕" w:hAnsi="맑은 고딕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2026-09-28T11:01:50.722Z</dcterms:created>
  <dcterms:modified xsi:type="dcterms:W3CDTF">2026-09-28T11:01:50.722Z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