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88" w:lineRule="auto"/>
        <w:jc w:val="center"/>
      </w:pPr>
      <w:r>
        <w:rPr>
          <w:rFonts w:ascii="맑은 고딕" w:hAnsi="맑은 고딕" w:eastAsia="맑은 고딕" w:cs="맑은 고딕"/>
          <w:b/>
          <w:i w:val="0"/>
          <w:sz w:val="28"/>
        </w:rPr>
        <w:t>[학부생논문] NPU 탑재 MCU 의 상시 음향 이벤트 감지에서 전처리 위치가 정확도와 에너지에 미치는 영향: MAX78000 실측</w:t>
      </w:r>
    </w:p>
    <w:p>
      <w:pPr>
        <w:spacing w:after="160" w:before="0" w:line="276" w:lineRule="auto"/>
        <w:jc w:val="center"/>
      </w:pPr>
      <w:r>
        <w:rPr>
          <w:rFonts w:ascii="맑은 고딕" w:hAnsi="맑은 고딕" w:eastAsia="맑은 고딕" w:cs="맑은 고딕"/>
          <w:b w:val="0"/>
          <w:i w:val="0"/>
          <w:sz w:val="22"/>
        </w:rPr>
        <w:t>Where Should the Front-End Go? Measured Accuracy–Energy Trade-offs of Preprocessing Placement for Always-On Acoustic Event Detection on an NPU-Equipped MCU (MAX78000)</w:t>
      </w:r>
    </w:p>
    <w:p>
      <w:pPr>
        <w:spacing w:after="60" w:before="0" w:line="276" w:lineRule="auto"/>
        <w:jc w:val="center"/>
      </w:pPr>
      <w:r>
        <w:rPr>
          <w:rFonts w:ascii="맑은 고딕" w:hAnsi="맑은 고딕" w:eastAsia="맑은 고딕" w:cs="맑은 고딕"/>
          <w:b/>
          <w:i w:val="0"/>
          <w:sz w:val="20"/>
        </w:rPr>
        <w:t>요   약</w:t>
      </w:r>
    </w:p>
    <w:p>
      <w:pPr>
        <w:spacing w:after="120" w:before="0" w:line="276" w:lineRule="auto"/>
        <w:jc w:val="both"/>
      </w:pPr>
      <w:r>
        <w:rPr>
          <w:rFonts w:ascii="맑은 고딕" w:hAnsi="맑은 고딕" w:eastAsia="맑은 고딕" w:cs="맑은 고딕"/>
          <w:b w:val="0"/>
          <w:i w:val="0"/>
          <w:sz w:val="18"/>
        </w:rPr>
        <w:t>NPU 를 탑재한 MCU(MAX78000) 에서 배터리 상시 구동 음향 이벤트 감지기를 구현하고, log-mel 전처리를 어디에 둘지가 정확도와 판단당 에너지에 미치는 영향을 10개 구성으로 같은 데이터·같은 보드에서 실측했다. 벤더 참조 설계처럼 원본 파형을 NPU 에 직접 넣어 전처리를 없앤 구성은 CPU log-mel 구성보다 시험 데이터 macro-F1 이 0.166 낮았고, 로그 압축을 NPU 연산으로 근사한 변형은 이 격차를 되찾지 못했으며, 선형 부분(필터뱅크와 에너지 적분)만 NPU 로 옮긴 구성은 원본 파형 구성보다 에너지가 적지만 정확도는 원본 파형 구성과 같았다. 반면 프레임 간격을 넓힌 거친 log-mel을 CPU 에 남기고 작은 2D CNN 을 NPU 에 올린 구성은 원본 파형 구성보다 macro-F1 이 +0.085 높으면서(Welch 95% CI 가 0 을 포함하지 않음) 추정 에너지는 같거나 적었다. NPU 추론은 같은 가중치의 CMSIS-NN 추론보다 판단 1회 기준 89배 빨랐다. 전처리 위치는 가속기 친화성의 문제가 아니라 정확도–에너지 설계 변수이며, 파레토 앞면은 양 끝이 아니라 전처리를 나눈 중간 구성들로 이루어짐을 보인다.</w:t>
      </w:r>
    </w:p>
    <w:p>
      <w:pPr>
        <w:spacing w:after="20"/>
        <w:jc w:val="center"/>
      </w:pPr>
      <w:r>
        <w:drawing>
          <wp:inline xmlns:a="http://schemas.openxmlformats.org/drawingml/2006/main" xmlns:pic="http://schemas.openxmlformats.org/drawingml/2006/picture">
            <wp:extent cx="5400000" cy="2453457"/>
            <wp:docPr id="1" name="Picture 1"/>
            <wp:cNvGraphicFramePr>
              <a:graphicFrameLocks noChangeAspect="1"/>
            </wp:cNvGraphicFramePr>
            <a:graphic>
              <a:graphicData uri="http://schemas.openxmlformats.org/drawingml/2006/picture">
                <pic:pic>
                  <pic:nvPicPr>
                    <pic:cNvPr id="0" name="fig1_acc_energy.png"/>
                    <pic:cNvPicPr/>
                  </pic:nvPicPr>
                  <pic:blipFill>
                    <a:blip r:embed="rId9"/>
                    <a:stretch>
                      <a:fillRect/>
                    </a:stretch>
                  </pic:blipFill>
                  <pic:spPr>
                    <a:xfrm>
                      <a:off x="0" y="0"/>
                      <a:ext cx="5400000" cy="2453457"/>
                    </a:xfrm>
                    <a:prstGeom prst="rect"/>
                  </pic:spPr>
                </pic:pic>
              </a:graphicData>
            </a:graphic>
          </wp:inline>
        </w:drawing>
      </w:r>
    </w:p>
    <w:p>
      <w:pPr>
        <w:spacing w:after="80" w:before="0" w:line="252" w:lineRule="auto"/>
        <w:jc w:val="both"/>
      </w:pPr>
      <w:r>
        <w:rPr>
          <w:rFonts w:ascii="맑은 고딕" w:hAnsi="맑은 고딕" w:eastAsia="맑은 고딕" w:cs="맑은 고딕"/>
          <w:b w:val="0"/>
          <w:i w:val="0"/>
          <w:sz w:val="16"/>
        </w:rPr>
        <w:t>그림 1. 판단 1회 추정 에너지(가로, 로그축)와 정확도. (a) 시험 데이터 macro-F1, (b) 외부 데이터 F1. 색은 전처리 위치, 마커 위치는 데이터시트 전력 기준, 가로 막대는 세 전력 출처의 범위, 세로 막대는 시드 표준편차(n=3). NPU 근사 log(*) 는 보드 미실측으로 지연을 합성 사이클로 추정한 점. 주황 점선은 NPU 전처리 계열(NPU 전처리 (Gabor 필터뱅크)와 대역·프레임 수를 늘린 변형 3종, 모두 보드 실측)을 에너지 순으로 이은 것. 큰 고리와 회색 점선은 파레토 앞면(에너지가 같거나 작으면서 정확도가 같거나 높은 다른 점이 없는 구성).</w:t>
      </w:r>
    </w:p>
    <w:p>
      <w:pPr>
        <w:spacing w:after="20" w:before="0" w:line="252" w:lineRule="auto"/>
        <w:jc w:val="both"/>
      </w:pPr>
      <w:r>
        <w:rPr>
          <w:rFonts w:ascii="맑은 고딕" w:hAnsi="맑은 고딕" w:eastAsia="맑은 고딕" w:cs="맑은 고딕"/>
          <w:b w:val="0"/>
          <w:i w:val="0"/>
          <w:sz w:val="16"/>
        </w:rPr>
        <w:t>표 1. 주 결과. 정확도는 시드 1~3 평균 ± 표준편차, 오경보 300회/h. 지연은 보드 1,000회 최악값, 에너지는 추정(실측 지연 × 공개 전력). 변형 3종은 펌웨어 안정화 대기(NPU 패스당 약 49 μs) 포함. 같은 대기를 넣으면 NPU 전처리 (Gabor 필터뱅크) 는 2.09 ms.</w:t>
      </w:r>
    </w:p>
    <w:tbl>
      <w:tblPr>
        <w:tblStyle w:val="TableGrid"/>
        <w:tblW w:type="auto" w:w="0"/>
        <w:jc w:val="center"/>
        <w:tblLayout w:type="fixed"/>
        <w:tblLook w:firstColumn="1" w:firstRow="1" w:lastColumn="0" w:lastRow="0" w:noHBand="0" w:noVBand="1" w:val="04A0"/>
      </w:tblPr>
      <w:tblGrid>
        <w:gridCol w:w="3855"/>
        <w:gridCol w:w="1247"/>
        <w:gridCol w:w="2154"/>
        <w:gridCol w:w="1757"/>
        <w:gridCol w:w="1757"/>
      </w:tblGrid>
      <w:tr>
        <w:tc>
          <w:tcPr>
            <w:tcW w:type="dxa" w:w="3855"/>
          </w:tcPr>
          <w:p>
            <w:pPr>
              <w:spacing w:after="0" w:before="0"/>
              <w:jc w:val="center"/>
            </w:pPr>
            <w:r/>
            <w:r>
              <w:rPr>
                <w:rFonts w:ascii="맑은 고딕" w:hAnsi="맑은 고딕" w:eastAsia="맑은 고딕" w:cs="맑은 고딕"/>
                <w:b/>
                <w:i w:val="0"/>
                <w:sz w:val="15"/>
              </w:rPr>
              <w:t>구성</w:t>
            </w:r>
          </w:p>
        </w:tc>
        <w:tc>
          <w:tcPr>
            <w:tcW w:type="dxa" w:w="1247"/>
          </w:tcPr>
          <w:p>
            <w:pPr>
              <w:spacing w:after="0" w:before="0"/>
              <w:jc w:val="center"/>
            </w:pPr>
            <w:r/>
            <w:r>
              <w:rPr>
                <w:rFonts w:ascii="맑은 고딕" w:hAnsi="맑은 고딕" w:eastAsia="맑은 고딕" w:cs="맑은 고딕"/>
                <w:b/>
                <w:i w:val="0"/>
                <w:sz w:val="15"/>
              </w:rPr>
              <w:t>판단 1회 지연 (ms)</w:t>
            </w:r>
          </w:p>
        </w:tc>
        <w:tc>
          <w:tcPr>
            <w:tcW w:type="dxa" w:w="2154"/>
          </w:tcPr>
          <w:p>
            <w:pPr>
              <w:spacing w:after="0" w:before="0"/>
              <w:jc w:val="center"/>
            </w:pPr>
            <w:r/>
            <w:r>
              <w:rPr>
                <w:rFonts w:ascii="맑은 고딕" w:hAnsi="맑은 고딕" w:eastAsia="맑은 고딕" w:cs="맑은 고딕"/>
                <w:b/>
                <w:i w:val="0"/>
                <w:sz w:val="15"/>
              </w:rPr>
              <w:t>에너지 μJ, 추정 (데이터시트 / 선행연구 / Moosmann)</w:t>
            </w:r>
          </w:p>
        </w:tc>
        <w:tc>
          <w:tcPr>
            <w:tcW w:type="dxa" w:w="1757"/>
          </w:tcPr>
          <w:p>
            <w:pPr>
              <w:spacing w:after="0" w:before="0"/>
              <w:jc w:val="center"/>
            </w:pPr>
            <w:r/>
            <w:r>
              <w:rPr>
                <w:rFonts w:ascii="맑은 고딕" w:hAnsi="맑은 고딕" w:eastAsia="맑은 고딕" w:cs="맑은 고딕"/>
                <w:b/>
                <w:i w:val="0"/>
                <w:sz w:val="15"/>
              </w:rPr>
              <w:t>macro-F1 시험 데이터</w:t>
            </w:r>
          </w:p>
        </w:tc>
        <w:tc>
          <w:tcPr>
            <w:tcW w:type="dxa" w:w="1757"/>
          </w:tcPr>
          <w:p>
            <w:pPr>
              <w:spacing w:after="0" w:before="0"/>
              <w:jc w:val="center"/>
            </w:pPr>
            <w:r/>
            <w:r>
              <w:rPr>
                <w:rFonts w:ascii="맑은 고딕" w:hAnsi="맑은 고딕" w:eastAsia="맑은 고딕" w:cs="맑은 고딕"/>
                <w:b/>
                <w:i w:val="0"/>
                <w:sz w:val="15"/>
              </w:rPr>
              <w:t>F1 외부 데이터</w:t>
            </w:r>
          </w:p>
        </w:tc>
      </w:tr>
      <w:tr>
        <w:tc>
          <w:tcPr>
            <w:tcW w:type="dxa" w:w="3855"/>
          </w:tcPr>
          <w:p>
            <w:pPr>
              <w:spacing w:after="0" w:before="0"/>
              <w:jc w:val="left"/>
            </w:pPr>
            <w:r/>
            <w:r>
              <w:rPr>
                <w:rFonts w:ascii="맑은 고딕" w:hAnsi="맑은 고딕" w:eastAsia="맑은 고딕" w:cs="맑은 고딕"/>
                <w:b w:val="0"/>
                <w:i w:val="0"/>
                <w:sz w:val="15"/>
              </w:rPr>
              <w:t>원본 파형 (전처리 없음)</w:t>
            </w:r>
          </w:p>
        </w:tc>
        <w:tc>
          <w:tcPr>
            <w:tcW w:type="dxa" w:w="1247"/>
          </w:tcPr>
          <w:p>
            <w:pPr>
              <w:spacing w:after="0" w:before="0"/>
              <w:jc w:val="center"/>
            </w:pPr>
            <w:r/>
            <w:r>
              <w:rPr>
                <w:rFonts w:ascii="맑은 고딕" w:hAnsi="맑은 고딕" w:eastAsia="맑은 고딕" w:cs="맑은 고딕"/>
                <w:b w:val="0"/>
                <w:i w:val="0"/>
                <w:sz w:val="15"/>
              </w:rPr>
              <w:t>2.53</w:t>
            </w:r>
          </w:p>
        </w:tc>
        <w:tc>
          <w:tcPr>
            <w:tcW w:type="dxa" w:w="2154"/>
          </w:tcPr>
          <w:p>
            <w:pPr>
              <w:spacing w:after="0" w:before="0"/>
              <w:jc w:val="center"/>
            </w:pPr>
            <w:r/>
            <w:r>
              <w:rPr>
                <w:rFonts w:ascii="맑은 고딕" w:hAnsi="맑은 고딕" w:eastAsia="맑은 고딕" w:cs="맑은 고딕"/>
                <w:b w:val="0"/>
                <w:i w:val="0"/>
                <w:sz w:val="15"/>
              </w:rPr>
              <w:t>71 / 130 / 78</w:t>
            </w:r>
          </w:p>
        </w:tc>
        <w:tc>
          <w:tcPr>
            <w:tcW w:type="dxa" w:w="1757"/>
          </w:tcPr>
          <w:p>
            <w:pPr>
              <w:spacing w:after="0" w:before="0"/>
              <w:jc w:val="center"/>
            </w:pPr>
            <w:r/>
            <w:r>
              <w:rPr>
                <w:rFonts w:ascii="맑은 고딕" w:hAnsi="맑은 고딕" w:eastAsia="맑은 고딕" w:cs="맑은 고딕"/>
                <w:b w:val="0"/>
                <w:i w:val="0"/>
                <w:sz w:val="15"/>
              </w:rPr>
              <w:t>0.669 ± 0.025</w:t>
            </w:r>
          </w:p>
        </w:tc>
        <w:tc>
          <w:tcPr>
            <w:tcW w:type="dxa" w:w="1757"/>
          </w:tcPr>
          <w:p>
            <w:pPr>
              <w:spacing w:after="0" w:before="0"/>
              <w:jc w:val="center"/>
            </w:pPr>
            <w:r/>
            <w:r>
              <w:rPr>
                <w:rFonts w:ascii="맑은 고딕" w:hAnsi="맑은 고딕" w:eastAsia="맑은 고딕" w:cs="맑은 고딕"/>
                <w:b w:val="0"/>
                <w:i w:val="0"/>
                <w:sz w:val="15"/>
              </w:rPr>
              <w:t>0.443 ± 0.021</w:t>
            </w:r>
          </w:p>
        </w:tc>
      </w:tr>
      <w:tr>
        <w:tc>
          <w:tcPr>
            <w:tcW w:type="dxa" w:w="3855"/>
          </w:tcPr>
          <w:p>
            <w:pPr>
              <w:spacing w:after="0" w:before="0"/>
              <w:jc w:val="left"/>
            </w:pPr>
            <w:r/>
            <w:r>
              <w:rPr>
                <w:rFonts w:ascii="맑은 고딕" w:hAnsi="맑은 고딕" w:eastAsia="맑은 고딕" w:cs="맑은 고딕"/>
                <w:b w:val="0"/>
                <w:i w:val="0"/>
                <w:sz w:val="15"/>
              </w:rPr>
              <w:t>NPU 전처리 (Gabor 필터뱅크)</w:t>
            </w:r>
          </w:p>
        </w:tc>
        <w:tc>
          <w:tcPr>
            <w:tcW w:type="dxa" w:w="1247"/>
          </w:tcPr>
          <w:p>
            <w:pPr>
              <w:spacing w:after="0" w:before="0"/>
              <w:jc w:val="center"/>
            </w:pPr>
            <w:r/>
            <w:r>
              <w:rPr>
                <w:rFonts w:ascii="맑은 고딕" w:hAnsi="맑은 고딕" w:eastAsia="맑은 고딕" w:cs="맑은 고딕"/>
                <w:b w:val="0"/>
                <w:i w:val="0"/>
                <w:sz w:val="15"/>
              </w:rPr>
              <w:t>1.98</w:t>
            </w:r>
          </w:p>
        </w:tc>
        <w:tc>
          <w:tcPr>
            <w:tcW w:type="dxa" w:w="2154"/>
          </w:tcPr>
          <w:p>
            <w:pPr>
              <w:spacing w:after="0" w:before="0"/>
              <w:jc w:val="center"/>
            </w:pPr>
            <w:r/>
            <w:r>
              <w:rPr>
                <w:rFonts w:ascii="맑은 고딕" w:hAnsi="맑은 고딕" w:eastAsia="맑은 고딕" w:cs="맑은 고딕"/>
                <w:b w:val="0"/>
                <w:i w:val="0"/>
                <w:sz w:val="15"/>
              </w:rPr>
              <w:t>40 / 78 / 56</w:t>
            </w:r>
          </w:p>
        </w:tc>
        <w:tc>
          <w:tcPr>
            <w:tcW w:type="dxa" w:w="1757"/>
          </w:tcPr>
          <w:p>
            <w:pPr>
              <w:spacing w:after="0" w:before="0"/>
              <w:jc w:val="center"/>
            </w:pPr>
            <w:r/>
            <w:r>
              <w:rPr>
                <w:rFonts w:ascii="맑은 고딕" w:hAnsi="맑은 고딕" w:eastAsia="맑은 고딕" w:cs="맑은 고딕"/>
                <w:b w:val="0"/>
                <w:i w:val="0"/>
                <w:sz w:val="15"/>
              </w:rPr>
              <w:t>0.643 ± 0.025</w:t>
            </w:r>
          </w:p>
        </w:tc>
        <w:tc>
          <w:tcPr>
            <w:tcW w:type="dxa" w:w="1757"/>
          </w:tcPr>
          <w:p>
            <w:pPr>
              <w:spacing w:after="0" w:before="0"/>
              <w:jc w:val="center"/>
            </w:pPr>
            <w:r/>
            <w:r>
              <w:rPr>
                <w:rFonts w:ascii="맑은 고딕" w:hAnsi="맑은 고딕" w:eastAsia="맑은 고딕" w:cs="맑은 고딕"/>
                <w:b w:val="0"/>
                <w:i w:val="0"/>
                <w:sz w:val="15"/>
              </w:rPr>
              <w:t>0.460 ± 0.034</w:t>
            </w:r>
          </w:p>
        </w:tc>
      </w:tr>
      <w:tr>
        <w:tc>
          <w:tcPr>
            <w:tcW w:type="dxa" w:w="3855"/>
          </w:tcPr>
          <w:p>
            <w:pPr>
              <w:spacing w:after="0" w:before="0"/>
              <w:jc w:val="left"/>
            </w:pPr>
            <w:r/>
            <w:r>
              <w:rPr>
                <w:rFonts w:ascii="맑은 고딕" w:hAnsi="맑은 고딕" w:eastAsia="맑은 고딕" w:cs="맑은 고딕"/>
                <w:b w:val="0"/>
                <w:i w:val="0"/>
                <w:sz w:val="15"/>
              </w:rPr>
              <w:t>NPU 전처리 64 대역</w:t>
            </w:r>
          </w:p>
        </w:tc>
        <w:tc>
          <w:tcPr>
            <w:tcW w:type="dxa" w:w="1247"/>
          </w:tcPr>
          <w:p>
            <w:pPr>
              <w:spacing w:after="0" w:before="0"/>
              <w:jc w:val="center"/>
            </w:pPr>
            <w:r/>
            <w:r>
              <w:rPr>
                <w:rFonts w:ascii="맑은 고딕" w:hAnsi="맑은 고딕" w:eastAsia="맑은 고딕" w:cs="맑은 고딕"/>
                <w:b w:val="0"/>
                <w:i w:val="0"/>
                <w:sz w:val="15"/>
              </w:rPr>
              <w:t>3.66</w:t>
            </w:r>
          </w:p>
        </w:tc>
        <w:tc>
          <w:tcPr>
            <w:tcW w:type="dxa" w:w="2154"/>
          </w:tcPr>
          <w:p>
            <w:pPr>
              <w:spacing w:after="0" w:before="0"/>
              <w:jc w:val="center"/>
            </w:pPr>
            <w:r/>
            <w:r>
              <w:rPr>
                <w:rFonts w:ascii="맑은 고딕" w:hAnsi="맑은 고딕" w:eastAsia="맑은 고딕" w:cs="맑은 고딕"/>
                <w:b w:val="0"/>
                <w:i w:val="0"/>
                <w:sz w:val="15"/>
              </w:rPr>
              <w:t>80 / 152 / 105</w:t>
            </w:r>
          </w:p>
        </w:tc>
        <w:tc>
          <w:tcPr>
            <w:tcW w:type="dxa" w:w="1757"/>
          </w:tcPr>
          <w:p>
            <w:pPr>
              <w:spacing w:after="0" w:before="0"/>
              <w:jc w:val="center"/>
            </w:pPr>
            <w:r/>
            <w:r>
              <w:rPr>
                <w:rFonts w:ascii="맑은 고딕" w:hAnsi="맑은 고딕" w:eastAsia="맑은 고딕" w:cs="맑은 고딕"/>
                <w:b w:val="0"/>
                <w:i w:val="0"/>
                <w:sz w:val="15"/>
              </w:rPr>
              <w:t>0.687 ± 0.005</w:t>
            </w:r>
          </w:p>
        </w:tc>
        <w:tc>
          <w:tcPr>
            <w:tcW w:type="dxa" w:w="1757"/>
          </w:tcPr>
          <w:p>
            <w:pPr>
              <w:spacing w:after="0" w:before="0"/>
              <w:jc w:val="center"/>
            </w:pPr>
            <w:r/>
            <w:r>
              <w:rPr>
                <w:rFonts w:ascii="맑은 고딕" w:hAnsi="맑은 고딕" w:eastAsia="맑은 고딕" w:cs="맑은 고딕"/>
                <w:b w:val="0"/>
                <w:i w:val="0"/>
                <w:sz w:val="15"/>
              </w:rPr>
              <w:t>0.504 ± 0.021</w:t>
            </w:r>
          </w:p>
        </w:tc>
      </w:tr>
      <w:tr>
        <w:tc>
          <w:tcPr>
            <w:tcW w:type="dxa" w:w="3855"/>
          </w:tcPr>
          <w:p>
            <w:pPr>
              <w:spacing w:after="0" w:before="0"/>
              <w:jc w:val="left"/>
            </w:pPr>
            <w:r/>
            <w:r>
              <w:rPr>
                <w:rFonts w:ascii="맑은 고딕" w:hAnsi="맑은 고딕" w:eastAsia="맑은 고딕" w:cs="맑은 고딕"/>
                <w:b w:val="0"/>
                <w:i w:val="0"/>
                <w:sz w:val="15"/>
              </w:rPr>
              <w:t>NPU 전처리 31 프레임</w:t>
            </w:r>
          </w:p>
        </w:tc>
        <w:tc>
          <w:tcPr>
            <w:tcW w:type="dxa" w:w="1247"/>
          </w:tcPr>
          <w:p>
            <w:pPr>
              <w:spacing w:after="0" w:before="0"/>
              <w:jc w:val="center"/>
            </w:pPr>
            <w:r/>
            <w:r>
              <w:rPr>
                <w:rFonts w:ascii="맑은 고딕" w:hAnsi="맑은 고딕" w:eastAsia="맑은 고딕" w:cs="맑은 고딕"/>
                <w:b w:val="0"/>
                <w:i w:val="0"/>
                <w:sz w:val="15"/>
              </w:rPr>
              <w:t>3.52</w:t>
            </w:r>
          </w:p>
        </w:tc>
        <w:tc>
          <w:tcPr>
            <w:tcW w:type="dxa" w:w="2154"/>
          </w:tcPr>
          <w:p>
            <w:pPr>
              <w:spacing w:after="0" w:before="0"/>
              <w:jc w:val="center"/>
            </w:pPr>
            <w:r/>
            <w:r>
              <w:rPr>
                <w:rFonts w:ascii="맑은 고딕" w:hAnsi="맑은 고딕" w:eastAsia="맑은 고딕" w:cs="맑은 고딕"/>
                <w:b w:val="0"/>
                <w:i w:val="0"/>
                <w:sz w:val="15"/>
              </w:rPr>
              <w:t>74 / 142 / 100</w:t>
            </w:r>
          </w:p>
        </w:tc>
        <w:tc>
          <w:tcPr>
            <w:tcW w:type="dxa" w:w="1757"/>
          </w:tcPr>
          <w:p>
            <w:pPr>
              <w:spacing w:after="0" w:before="0"/>
              <w:jc w:val="center"/>
            </w:pPr>
            <w:r/>
            <w:r>
              <w:rPr>
                <w:rFonts w:ascii="맑은 고딕" w:hAnsi="맑은 고딕" w:eastAsia="맑은 고딕" w:cs="맑은 고딕"/>
                <w:b w:val="0"/>
                <w:i w:val="0"/>
                <w:sz w:val="15"/>
              </w:rPr>
              <w:t>0.655 ± 0.011</w:t>
            </w:r>
          </w:p>
        </w:tc>
        <w:tc>
          <w:tcPr>
            <w:tcW w:type="dxa" w:w="1757"/>
          </w:tcPr>
          <w:p>
            <w:pPr>
              <w:spacing w:after="0" w:before="0"/>
              <w:jc w:val="center"/>
            </w:pPr>
            <w:r/>
            <w:r>
              <w:rPr>
                <w:rFonts w:ascii="맑은 고딕" w:hAnsi="맑은 고딕" w:eastAsia="맑은 고딕" w:cs="맑은 고딕"/>
                <w:b w:val="0"/>
                <w:i w:val="0"/>
                <w:sz w:val="15"/>
              </w:rPr>
              <w:t>0.465 ± 0.006</w:t>
            </w:r>
          </w:p>
        </w:tc>
      </w:tr>
      <w:tr>
        <w:tc>
          <w:tcPr>
            <w:tcW w:type="dxa" w:w="3855"/>
          </w:tcPr>
          <w:p>
            <w:pPr>
              <w:spacing w:after="0" w:before="0"/>
              <w:jc w:val="left"/>
            </w:pPr>
            <w:r/>
            <w:r>
              <w:rPr>
                <w:rFonts w:ascii="맑은 고딕" w:hAnsi="맑은 고딕" w:eastAsia="맑은 고딕" w:cs="맑은 고딕"/>
                <w:b w:val="0"/>
                <w:i w:val="0"/>
                <w:sz w:val="15"/>
              </w:rPr>
              <w:t>NPU 전처리 64 대역·31 프레임</w:t>
            </w:r>
          </w:p>
        </w:tc>
        <w:tc>
          <w:tcPr>
            <w:tcW w:type="dxa" w:w="1247"/>
          </w:tcPr>
          <w:p>
            <w:pPr>
              <w:spacing w:after="0" w:before="0"/>
              <w:jc w:val="center"/>
            </w:pPr>
            <w:r/>
            <w:r>
              <w:rPr>
                <w:rFonts w:ascii="맑은 고딕" w:hAnsi="맑은 고딕" w:eastAsia="맑은 고딕" w:cs="맑은 고딕"/>
                <w:b w:val="0"/>
                <w:i w:val="0"/>
                <w:sz w:val="15"/>
              </w:rPr>
              <w:t>6.49</w:t>
            </w:r>
          </w:p>
        </w:tc>
        <w:tc>
          <w:tcPr>
            <w:tcW w:type="dxa" w:w="2154"/>
          </w:tcPr>
          <w:p>
            <w:pPr>
              <w:spacing w:after="0" w:before="0"/>
              <w:jc w:val="center"/>
            </w:pPr>
            <w:r/>
            <w:r>
              <w:rPr>
                <w:rFonts w:ascii="맑은 고딕" w:hAnsi="맑은 고딕" w:eastAsia="맑은 고딕" w:cs="맑은 고딕"/>
                <w:b w:val="0"/>
                <w:i w:val="0"/>
                <w:sz w:val="15"/>
              </w:rPr>
              <w:t>139 / 265 / 185</w:t>
            </w:r>
          </w:p>
        </w:tc>
        <w:tc>
          <w:tcPr>
            <w:tcW w:type="dxa" w:w="1757"/>
          </w:tcPr>
          <w:p>
            <w:pPr>
              <w:spacing w:after="0" w:before="0"/>
              <w:jc w:val="center"/>
            </w:pPr>
            <w:r/>
            <w:r>
              <w:rPr>
                <w:rFonts w:ascii="맑은 고딕" w:hAnsi="맑은 고딕" w:eastAsia="맑은 고딕" w:cs="맑은 고딕"/>
                <w:b w:val="0"/>
                <w:i w:val="0"/>
                <w:sz w:val="15"/>
              </w:rPr>
              <w:t>0.690 ± 0.021</w:t>
            </w:r>
          </w:p>
        </w:tc>
        <w:tc>
          <w:tcPr>
            <w:tcW w:type="dxa" w:w="1757"/>
          </w:tcPr>
          <w:p>
            <w:pPr>
              <w:spacing w:after="0" w:before="0"/>
              <w:jc w:val="center"/>
            </w:pPr>
            <w:r/>
            <w:r>
              <w:rPr>
                <w:rFonts w:ascii="맑은 고딕" w:hAnsi="맑은 고딕" w:eastAsia="맑은 고딕" w:cs="맑은 고딕"/>
                <w:b w:val="0"/>
                <w:i w:val="0"/>
                <w:sz w:val="15"/>
              </w:rPr>
              <w:t>0.508 ± 0.023</w:t>
            </w:r>
          </w:p>
        </w:tc>
      </w:tr>
      <w:tr>
        <w:tc>
          <w:tcPr>
            <w:tcW w:type="dxa" w:w="3855"/>
          </w:tcPr>
          <w:p>
            <w:pPr>
              <w:spacing w:after="0" w:before="0"/>
              <w:jc w:val="left"/>
            </w:pPr>
            <w:r/>
            <w:r>
              <w:rPr>
                <w:rFonts w:ascii="맑은 고딕" w:hAnsi="맑은 고딕" w:eastAsia="맑은 고딕" w:cs="맑은 고딕"/>
                <w:b w:val="0"/>
                <w:i w:val="0"/>
                <w:sz w:val="15"/>
              </w:rPr>
              <w:t>NPU 근사 log</w:t>
            </w:r>
          </w:p>
        </w:tc>
        <w:tc>
          <w:tcPr>
            <w:tcW w:type="dxa" w:w="1247"/>
          </w:tcPr>
          <w:p>
            <w:pPr>
              <w:spacing w:after="0" w:before="0"/>
              <w:jc w:val="center"/>
            </w:pPr>
            <w:r/>
            <w:r>
              <w:rPr>
                <w:rFonts w:ascii="맑은 고딕" w:hAnsi="맑은 고딕" w:eastAsia="맑은 고딕" w:cs="맑은 고딕"/>
                <w:b w:val="0"/>
                <w:i w:val="0"/>
                <w:sz w:val="15"/>
              </w:rPr>
              <w:t>6.59 (추정)</w:t>
            </w:r>
          </w:p>
        </w:tc>
        <w:tc>
          <w:tcPr>
            <w:tcW w:type="dxa" w:w="2154"/>
          </w:tcPr>
          <w:p>
            <w:pPr>
              <w:spacing w:after="0" w:before="0"/>
              <w:jc w:val="center"/>
            </w:pPr>
            <w:r/>
            <w:r>
              <w:rPr>
                <w:rFonts w:ascii="맑은 고딕" w:hAnsi="맑은 고딕" w:eastAsia="맑은 고딕" w:cs="맑은 고딕"/>
                <w:b w:val="0"/>
                <w:i w:val="0"/>
                <w:sz w:val="15"/>
              </w:rPr>
              <w:t>236 / 421 / 223</w:t>
            </w:r>
          </w:p>
        </w:tc>
        <w:tc>
          <w:tcPr>
            <w:tcW w:type="dxa" w:w="1757"/>
          </w:tcPr>
          <w:p>
            <w:pPr>
              <w:spacing w:after="0" w:before="0"/>
              <w:jc w:val="center"/>
            </w:pPr>
            <w:r/>
            <w:r>
              <w:rPr>
                <w:rFonts w:ascii="맑은 고딕" w:hAnsi="맑은 고딕" w:eastAsia="맑은 고딕" w:cs="맑은 고딕"/>
                <w:b w:val="0"/>
                <w:i w:val="0"/>
                <w:sz w:val="15"/>
              </w:rPr>
              <w:t>0.703 ± 0.007</w:t>
            </w:r>
          </w:p>
        </w:tc>
        <w:tc>
          <w:tcPr>
            <w:tcW w:type="dxa" w:w="1757"/>
          </w:tcPr>
          <w:p>
            <w:pPr>
              <w:spacing w:after="0" w:before="0"/>
              <w:jc w:val="center"/>
            </w:pPr>
            <w:r/>
            <w:r>
              <w:rPr>
                <w:rFonts w:ascii="맑은 고딕" w:hAnsi="맑은 고딕" w:eastAsia="맑은 고딕" w:cs="맑은 고딕"/>
                <w:b w:val="0"/>
                <w:i w:val="0"/>
                <w:sz w:val="15"/>
              </w:rPr>
              <w:t>0.500 ± 0.011</w:t>
            </w:r>
          </w:p>
        </w:tc>
      </w:tr>
      <w:tr>
        <w:tc>
          <w:tcPr>
            <w:tcW w:type="dxa" w:w="3855"/>
          </w:tcPr>
          <w:p>
            <w:pPr>
              <w:spacing w:after="0" w:before="0"/>
              <w:jc w:val="left"/>
            </w:pPr>
            <w:r/>
            <w:r>
              <w:rPr>
                <w:rFonts w:ascii="맑은 고딕" w:hAnsi="맑은 고딕" w:eastAsia="맑은 고딕" w:cs="맑은 고딕"/>
                <w:b w:val="0"/>
                <w:i w:val="0"/>
                <w:sz w:val="15"/>
              </w:rPr>
              <w:t>CPU log-mel, 간격 62.5 ms (멜 32)</w:t>
            </w:r>
          </w:p>
        </w:tc>
        <w:tc>
          <w:tcPr>
            <w:tcW w:type="dxa" w:w="1247"/>
          </w:tcPr>
          <w:p>
            <w:pPr>
              <w:spacing w:after="0" w:before="0"/>
              <w:jc w:val="center"/>
            </w:pPr>
            <w:r/>
            <w:r>
              <w:rPr>
                <w:rFonts w:ascii="맑은 고딕" w:hAnsi="맑은 고딕" w:eastAsia="맑은 고딕" w:cs="맑은 고딕"/>
                <w:b w:val="0"/>
                <w:i w:val="0"/>
                <w:sz w:val="15"/>
              </w:rPr>
              <w:t>2.93</w:t>
            </w:r>
          </w:p>
        </w:tc>
        <w:tc>
          <w:tcPr>
            <w:tcW w:type="dxa" w:w="2154"/>
          </w:tcPr>
          <w:p>
            <w:pPr>
              <w:spacing w:after="0" w:before="0"/>
              <w:jc w:val="center"/>
            </w:pPr>
            <w:r/>
            <w:r>
              <w:rPr>
                <w:rFonts w:ascii="맑은 고딕" w:hAnsi="맑은 고딕" w:eastAsia="맑은 고딕" w:cs="맑은 고딕"/>
                <w:b w:val="0"/>
                <w:i w:val="0"/>
                <w:sz w:val="15"/>
              </w:rPr>
              <w:t>43 / 98 / 78</w:t>
            </w:r>
          </w:p>
        </w:tc>
        <w:tc>
          <w:tcPr>
            <w:tcW w:type="dxa" w:w="1757"/>
          </w:tcPr>
          <w:p>
            <w:pPr>
              <w:spacing w:after="0" w:before="0"/>
              <w:jc w:val="center"/>
            </w:pPr>
            <w:r/>
            <w:r>
              <w:rPr>
                <w:rFonts w:ascii="맑은 고딕" w:hAnsi="맑은 고딕" w:eastAsia="맑은 고딕" w:cs="맑은 고딕"/>
                <w:b w:val="0"/>
                <w:i w:val="0"/>
                <w:sz w:val="15"/>
              </w:rPr>
              <w:t>0.754 ± 0.014</w:t>
            </w:r>
          </w:p>
        </w:tc>
        <w:tc>
          <w:tcPr>
            <w:tcW w:type="dxa" w:w="1757"/>
          </w:tcPr>
          <w:p>
            <w:pPr>
              <w:spacing w:after="0" w:before="0"/>
              <w:jc w:val="center"/>
            </w:pPr>
            <w:r/>
            <w:r>
              <w:rPr>
                <w:rFonts w:ascii="맑은 고딕" w:hAnsi="맑은 고딕" w:eastAsia="맑은 고딕" w:cs="맑은 고딕"/>
                <w:b w:val="0"/>
                <w:i w:val="0"/>
                <w:sz w:val="15"/>
              </w:rPr>
              <w:t>0.542 ± 0.014</w:t>
            </w:r>
          </w:p>
        </w:tc>
      </w:tr>
      <w:tr>
        <w:tc>
          <w:tcPr>
            <w:tcW w:type="dxa" w:w="3855"/>
          </w:tcPr>
          <w:p>
            <w:pPr>
              <w:spacing w:after="0" w:before="0"/>
              <w:jc w:val="left"/>
            </w:pPr>
            <w:r/>
            <w:r>
              <w:rPr>
                <w:rFonts w:ascii="맑은 고딕" w:hAnsi="맑은 고딕" w:eastAsia="맑은 고딕" w:cs="맑은 고딕"/>
                <w:b w:val="0"/>
                <w:i w:val="0"/>
                <w:sz w:val="15"/>
              </w:rPr>
              <w:t>CPU log-mel, 간격 50 ms</w:t>
            </w:r>
          </w:p>
        </w:tc>
        <w:tc>
          <w:tcPr>
            <w:tcW w:type="dxa" w:w="1247"/>
          </w:tcPr>
          <w:p>
            <w:pPr>
              <w:spacing w:after="0" w:before="0"/>
              <w:jc w:val="center"/>
            </w:pPr>
            <w:r/>
            <w:r>
              <w:rPr>
                <w:rFonts w:ascii="맑은 고딕" w:hAnsi="맑은 고딕" w:eastAsia="맑은 고딕" w:cs="맑은 고딕"/>
                <w:b w:val="0"/>
                <w:i w:val="0"/>
                <w:sz w:val="15"/>
              </w:rPr>
              <w:t>3.66</w:t>
            </w:r>
          </w:p>
        </w:tc>
        <w:tc>
          <w:tcPr>
            <w:tcW w:type="dxa" w:w="2154"/>
          </w:tcPr>
          <w:p>
            <w:pPr>
              <w:spacing w:after="0" w:before="0"/>
              <w:jc w:val="center"/>
            </w:pPr>
            <w:r/>
            <w:r>
              <w:rPr>
                <w:rFonts w:ascii="맑은 고딕" w:hAnsi="맑은 고딕" w:eastAsia="맑은 고딕" w:cs="맑은 고딕"/>
                <w:b w:val="0"/>
                <w:i w:val="0"/>
                <w:sz w:val="15"/>
              </w:rPr>
              <w:t>54 / 121 / 98</w:t>
            </w:r>
          </w:p>
        </w:tc>
        <w:tc>
          <w:tcPr>
            <w:tcW w:type="dxa" w:w="1757"/>
          </w:tcPr>
          <w:p>
            <w:pPr>
              <w:spacing w:after="0" w:before="0"/>
              <w:jc w:val="center"/>
            </w:pPr>
            <w:r/>
            <w:r>
              <w:rPr>
                <w:rFonts w:ascii="맑은 고딕" w:hAnsi="맑은 고딕" w:eastAsia="맑은 고딕" w:cs="맑은 고딕"/>
                <w:b w:val="0"/>
                <w:i w:val="0"/>
                <w:sz w:val="15"/>
              </w:rPr>
              <w:t>0.758 ± 0.019</w:t>
            </w:r>
          </w:p>
        </w:tc>
        <w:tc>
          <w:tcPr>
            <w:tcW w:type="dxa" w:w="1757"/>
          </w:tcPr>
          <w:p>
            <w:pPr>
              <w:spacing w:after="0" w:before="0"/>
              <w:jc w:val="center"/>
            </w:pPr>
            <w:r/>
            <w:r>
              <w:rPr>
                <w:rFonts w:ascii="맑은 고딕" w:hAnsi="맑은 고딕" w:eastAsia="맑은 고딕" w:cs="맑은 고딕"/>
                <w:b w:val="0"/>
                <w:i w:val="0"/>
                <w:sz w:val="15"/>
              </w:rPr>
              <w:t>0.566 ± 0.025</w:t>
            </w:r>
          </w:p>
        </w:tc>
      </w:tr>
      <w:tr>
        <w:tc>
          <w:tcPr>
            <w:tcW w:type="dxa" w:w="3855"/>
          </w:tcPr>
          <w:p>
            <w:pPr>
              <w:spacing w:after="0" w:before="0"/>
              <w:jc w:val="left"/>
            </w:pPr>
            <w:r/>
            <w:r>
              <w:rPr>
                <w:rFonts w:ascii="맑은 고딕" w:hAnsi="맑은 고딕" w:eastAsia="맑은 고딕" w:cs="맑은 고딕"/>
                <w:b w:val="0"/>
                <w:i w:val="0"/>
                <w:sz w:val="15"/>
              </w:rPr>
              <w:t>CPU log-mel, 간격 25 ms</w:t>
            </w:r>
          </w:p>
        </w:tc>
        <w:tc>
          <w:tcPr>
            <w:tcW w:type="dxa" w:w="1247"/>
          </w:tcPr>
          <w:p>
            <w:pPr>
              <w:spacing w:after="0" w:before="0"/>
              <w:jc w:val="center"/>
            </w:pPr>
            <w:r/>
            <w:r>
              <w:rPr>
                <w:rFonts w:ascii="맑은 고딕" w:hAnsi="맑은 고딕" w:eastAsia="맑은 고딕" w:cs="맑은 고딕"/>
                <w:b w:val="0"/>
                <w:i w:val="0"/>
                <w:sz w:val="15"/>
              </w:rPr>
              <w:t>9.42</w:t>
            </w:r>
          </w:p>
        </w:tc>
        <w:tc>
          <w:tcPr>
            <w:tcW w:type="dxa" w:w="2154"/>
          </w:tcPr>
          <w:p>
            <w:pPr>
              <w:spacing w:after="0" w:before="0"/>
              <w:jc w:val="center"/>
            </w:pPr>
            <w:r/>
            <w:r>
              <w:rPr>
                <w:rFonts w:ascii="맑은 고딕" w:hAnsi="맑은 고딕" w:eastAsia="맑은 고딕" w:cs="맑은 고딕"/>
                <w:b w:val="0"/>
                <w:i w:val="0"/>
                <w:sz w:val="15"/>
              </w:rPr>
              <w:t>167 / 353 / 261</w:t>
            </w:r>
          </w:p>
        </w:tc>
        <w:tc>
          <w:tcPr>
            <w:tcW w:type="dxa" w:w="1757"/>
          </w:tcPr>
          <w:p>
            <w:pPr>
              <w:spacing w:after="0" w:before="0"/>
              <w:jc w:val="center"/>
            </w:pPr>
            <w:r/>
            <w:r>
              <w:rPr>
                <w:rFonts w:ascii="맑은 고딕" w:hAnsi="맑은 고딕" w:eastAsia="맑은 고딕" w:cs="맑은 고딕"/>
                <w:b w:val="0"/>
                <w:i w:val="0"/>
                <w:sz w:val="15"/>
              </w:rPr>
              <w:t>0.820 ± 0.006</w:t>
            </w:r>
          </w:p>
        </w:tc>
        <w:tc>
          <w:tcPr>
            <w:tcW w:type="dxa" w:w="1757"/>
          </w:tcPr>
          <w:p>
            <w:pPr>
              <w:spacing w:after="0" w:before="0"/>
              <w:jc w:val="center"/>
            </w:pPr>
            <w:r/>
            <w:r>
              <w:rPr>
                <w:rFonts w:ascii="맑은 고딕" w:hAnsi="맑은 고딕" w:eastAsia="맑은 고딕" w:cs="맑은 고딕"/>
                <w:b w:val="0"/>
                <w:i w:val="0"/>
                <w:sz w:val="15"/>
              </w:rPr>
              <w:t>0.651 ± 0.010</w:t>
            </w:r>
          </w:p>
        </w:tc>
      </w:tr>
      <w:tr>
        <w:tc>
          <w:tcPr>
            <w:tcW w:type="dxa" w:w="3855"/>
          </w:tcPr>
          <w:p>
            <w:pPr>
              <w:spacing w:after="0" w:before="0"/>
              <w:jc w:val="left"/>
            </w:pPr>
            <w:r/>
            <w:r>
              <w:rPr>
                <w:rFonts w:ascii="맑은 고딕" w:hAnsi="맑은 고딕" w:eastAsia="맑은 고딕" w:cs="맑은 고딕"/>
                <w:b w:val="0"/>
                <w:i w:val="0"/>
                <w:sz w:val="15"/>
              </w:rPr>
              <w:t>CPU log-mel, 간격 16 ms</w:t>
            </w:r>
          </w:p>
        </w:tc>
        <w:tc>
          <w:tcPr>
            <w:tcW w:type="dxa" w:w="1247"/>
          </w:tcPr>
          <w:p>
            <w:pPr>
              <w:spacing w:after="0" w:before="0"/>
              <w:jc w:val="center"/>
            </w:pPr>
            <w:r/>
            <w:r>
              <w:rPr>
                <w:rFonts w:ascii="맑은 고딕" w:hAnsi="맑은 고딕" w:eastAsia="맑은 고딕" w:cs="맑은 고딕"/>
                <w:b w:val="0"/>
                <w:i w:val="0"/>
                <w:sz w:val="15"/>
              </w:rPr>
              <w:t>15.06</w:t>
            </w:r>
          </w:p>
        </w:tc>
        <w:tc>
          <w:tcPr>
            <w:tcW w:type="dxa" w:w="2154"/>
          </w:tcPr>
          <w:p>
            <w:pPr>
              <w:spacing w:after="0" w:before="0"/>
              <w:jc w:val="center"/>
            </w:pPr>
            <w:r/>
            <w:r>
              <w:rPr>
                <w:rFonts w:ascii="맑은 고딕" w:hAnsi="맑은 고딕" w:eastAsia="맑은 고딕" w:cs="맑은 고딕"/>
                <w:b w:val="0"/>
                <w:i w:val="0"/>
                <w:sz w:val="15"/>
              </w:rPr>
              <w:t>267 / 565 / 418</w:t>
            </w:r>
          </w:p>
        </w:tc>
        <w:tc>
          <w:tcPr>
            <w:tcW w:type="dxa" w:w="1757"/>
          </w:tcPr>
          <w:p>
            <w:pPr>
              <w:spacing w:after="0" w:before="0"/>
              <w:jc w:val="center"/>
            </w:pPr>
            <w:r/>
            <w:r>
              <w:rPr>
                <w:rFonts w:ascii="맑은 고딕" w:hAnsi="맑은 고딕" w:eastAsia="맑은 고딕" w:cs="맑은 고딕"/>
                <w:b w:val="0"/>
                <w:i w:val="0"/>
                <w:sz w:val="15"/>
              </w:rPr>
              <w:t>0.836 ± 0.002</w:t>
            </w:r>
          </w:p>
        </w:tc>
        <w:tc>
          <w:tcPr>
            <w:tcW w:type="dxa" w:w="1757"/>
          </w:tcPr>
          <w:p>
            <w:pPr>
              <w:spacing w:after="0" w:before="0"/>
              <w:jc w:val="center"/>
            </w:pPr>
            <w:r/>
            <w:r>
              <w:rPr>
                <w:rFonts w:ascii="맑은 고딕" w:hAnsi="맑은 고딕" w:eastAsia="맑은 고딕" w:cs="맑은 고딕"/>
                <w:b w:val="0"/>
                <w:i w:val="0"/>
                <w:sz w:val="15"/>
              </w:rPr>
              <w:t>0.665 ± 0.015</w:t>
            </w:r>
          </w:p>
        </w:tc>
      </w:tr>
      <w:tr>
        <w:tc>
          <w:tcPr>
            <w:tcW w:type="dxa" w:w="3855"/>
          </w:tcPr>
          <w:p>
            <w:pPr>
              <w:spacing w:after="0" w:before="0"/>
              <w:jc w:val="left"/>
            </w:pPr>
            <w:r/>
            <w:r>
              <w:rPr>
                <w:rFonts w:ascii="맑은 고딕" w:hAnsi="맑은 고딕" w:eastAsia="맑은 고딕" w:cs="맑은 고딕"/>
                <w:b w:val="0"/>
                <w:i w:val="0"/>
                <w:sz w:val="15"/>
              </w:rPr>
              <w:t>CPU 추론 (Cortex-M4F) (원본 파형 가중치)</w:t>
            </w:r>
          </w:p>
        </w:tc>
        <w:tc>
          <w:tcPr>
            <w:tcW w:type="dxa" w:w="1247"/>
          </w:tcPr>
          <w:p>
            <w:pPr>
              <w:spacing w:after="0" w:before="0"/>
              <w:jc w:val="center"/>
            </w:pPr>
            <w:r/>
            <w:r>
              <w:rPr>
                <w:rFonts w:ascii="맑은 고딕" w:hAnsi="맑은 고딕" w:eastAsia="맑은 고딕" w:cs="맑은 고딕"/>
                <w:b w:val="0"/>
                <w:i w:val="0"/>
                <w:sz w:val="15"/>
              </w:rPr>
              <w:t>225.77</w:t>
            </w:r>
          </w:p>
        </w:tc>
        <w:tc>
          <w:tcPr>
            <w:tcW w:type="dxa" w:w="2154"/>
          </w:tcPr>
          <w:p>
            <w:pPr>
              <w:spacing w:after="0" w:before="0"/>
              <w:jc w:val="center"/>
            </w:pPr>
            <w:r/>
            <w:r>
              <w:rPr>
                <w:rFonts w:ascii="맑은 고딕" w:hAnsi="맑은 고딕" w:eastAsia="맑은 고딕" w:cs="맑은 고딕"/>
                <w:b w:val="0"/>
                <w:i w:val="0"/>
                <w:sz w:val="15"/>
              </w:rPr>
              <w:t>2008 / 5599 / 5599</w:t>
            </w:r>
          </w:p>
        </w:tc>
        <w:tc>
          <w:tcPr>
            <w:tcW w:type="dxa" w:w="1757"/>
          </w:tcPr>
          <w:p>
            <w:pPr>
              <w:spacing w:after="0" w:before="0"/>
              <w:jc w:val="center"/>
            </w:pPr>
            <w:r/>
            <w:r>
              <w:rPr>
                <w:rFonts w:ascii="맑은 고딕" w:hAnsi="맑은 고딕" w:eastAsia="맑은 고딕" w:cs="맑은 고딕"/>
                <w:b w:val="0"/>
                <w:i w:val="0"/>
                <w:sz w:val="15"/>
              </w:rPr>
              <w:t>= 원본 파형</w:t>
            </w:r>
          </w:p>
        </w:tc>
        <w:tc>
          <w:tcPr>
            <w:tcW w:type="dxa" w:w="1757"/>
          </w:tcPr>
          <w:p>
            <w:pPr>
              <w:spacing w:after="0" w:before="0"/>
              <w:jc w:val="center"/>
            </w:pPr>
            <w:r/>
            <w:r>
              <w:rPr>
                <w:rFonts w:ascii="맑은 고딕" w:hAnsi="맑은 고딕" w:eastAsia="맑은 고딕" w:cs="맑은 고딕"/>
                <w:b w:val="0"/>
                <w:i w:val="0"/>
                <w:sz w:val="15"/>
              </w:rPr>
              <w:t>= 원본 파형</w:t>
            </w:r>
          </w:p>
        </w:tc>
      </w:tr>
    </w:tbl>
    <w:p>
      <w:pPr>
        <w:spacing w:after="40" w:before="0" w:line="276" w:lineRule="auto"/>
      </w:pPr>
    </w:p>
    <w:p>
      <w:pPr>
        <w:sectPr>
          <w:pgSz w:w="11906" w:h="16838"/>
          <w:pgMar w:top="1701" w:right="567" w:bottom="1134" w:left="567" w:header="0" w:footer="0" w:gutter="0"/>
          <w:cols w:space="360" w:num="1"/>
          <w:docGrid w:linePitch="360"/>
        </w:sectPr>
      </w:pPr>
    </w:p>
    <w:p>
      <w:pPr>
        <w:spacing w:after="40" w:before="0" w:line="276" w:lineRule="auto"/>
      </w:pPr>
      <w:r>
        <w:rPr>
          <w:rFonts w:ascii="맑은 고딕" w:hAnsi="맑은 고딕" w:eastAsia="맑은 고딕" w:cs="맑은 고딕"/>
          <w:b/>
          <w:i w:val="0"/>
          <w:sz w:val="20"/>
        </w:rPr>
        <w:t>1. 서  론</w:t>
      </w:r>
    </w:p>
    <w:p>
      <w:pPr>
        <w:spacing w:after="40" w:before="0" w:line="276" w:lineRule="auto"/>
        <w:ind w:firstLine="180"/>
        <w:jc w:val="both"/>
      </w:pPr>
      <w:r>
        <w:rPr>
          <w:rFonts w:ascii="맑은 고딕" w:hAnsi="맑은 고딕" w:eastAsia="맑은 고딕" w:cs="맑은 고딕"/>
          <w:b w:val="0"/>
          <w:i w:val="0"/>
          <w:sz w:val="18"/>
        </w:rPr>
        <w:t>소형 MCU 에 신경망 가속기(NPU)를 얹은 칩이 늘고 있다. MAX78000 은 Cortex-M4F 와 CNN 가속기를 한 칩에 두어 상시 동작 음향 감지에 적합하지만, 가속기는 합성곱·풀링·요소별 연산만 지원하고 FFT·로그 같은 전처리 연산은 지원하지 않는다 [1, 2]. 따라서 log-mel 전처리는 CPU 가 맡거나, 아예 없애고 원본 파형을 가속기에 직접 넣어야 한다. 벤더의 음성 키워드 참조 설계는 후자를 택하며 음성에서는 정확도 손실이 거의 없다고 알려져 있다 [4].</w:t>
      </w:r>
    </w:p>
    <w:p>
      <w:pPr>
        <w:spacing w:after="40" w:before="0" w:line="276" w:lineRule="auto"/>
        <w:ind w:firstLine="180"/>
        <w:jc w:val="both"/>
      </w:pPr>
      <w:r>
        <w:rPr>
          <w:rFonts w:ascii="맑은 고딕" w:hAnsi="맑은 고딕" w:eastAsia="맑은 고딕" w:cs="맑은 고딕"/>
          <w:b w:val="0"/>
          <w:i w:val="0"/>
          <w:sz w:val="18"/>
        </w:rPr>
        <w:t>본 연구는 이 선택이 환경음(사이렌·유리 파손·비명·개 짖음) 감지에서도 성립하는지를 같은 데이터·같은 학습 설정·같은 보드에서 실측으로 답한다. 기여는 셋이다. (1) 전처리 위치를 양 끝(전부 CPU, 전부 NPU)과 그 사이의 10개 구성으로 나누어 정확도와 판단 1회 지연을 보드에서 재고 에너지를 추정한 정확도–에너지 곡선. (2) 필터뱅크·로그 압축·분할 등 전처리를 NPU 연산으로 옮긴 변형이 원본 파형 구성을 유의하게 넘지 못한다는 부정 결과와, 선형 부분만 옮긴 구성은 원본 파형 구성보다 에너지가 적지만 정확도 이득이 없어, CPU 전처리의 저에너지 구성과 비슷한 에너지에서 앞면 끝에 머문다는 실측. (3) 거친 log-mel(프레임 간격 62.5 ms, 멜 32)을 CPU 에 남기는 구성이 원본 파형 구성보다 정확도가 유의하게 높으면서 추정 에너지는 같거나 적다는 관찰과, 전처리가 NPU 가 처리할 데이터량을 줄이는 단계라는 해석.</w:t>
      </w:r>
    </w:p>
    <w:p>
      <w:pPr>
        <w:spacing w:after="40" w:before="0" w:line="276" w:lineRule="auto"/>
      </w:pPr>
      <w:r>
        <w:rPr>
          <w:rFonts w:ascii="맑은 고딕" w:hAnsi="맑은 고딕" w:eastAsia="맑은 고딕" w:cs="맑은 고딕"/>
          <w:b/>
          <w:i w:val="0"/>
          <w:sz w:val="20"/>
        </w:rPr>
        <w:t>2. 관련 연구</w:t>
      </w:r>
    </w:p>
    <w:p>
      <w:pPr>
        <w:spacing w:after="40" w:before="0" w:line="276" w:lineRule="auto"/>
        <w:ind w:firstLine="180"/>
        <w:jc w:val="both"/>
      </w:pPr>
      <w:r>
        <w:rPr>
          <w:rFonts w:ascii="맑은 고딕" w:hAnsi="맑은 고딕" w:eastAsia="맑은 고딕" w:cs="맑은 고딕"/>
          <w:b w:val="0"/>
          <w:i w:val="0"/>
          <w:sz w:val="18"/>
        </w:rPr>
        <w:t>MAX78000 의 자원·전력 특성은 Moss 등 [3] 이, 키워드 인식의 초저전력 구현은 Ulkar 와 Okman [4] 이, 물체 검출은 Moosmann 등 [5] 이 보고했다. 이들은 전처리를 고정한 채 모델을 다룬다. 원본 파형에서 직접 배우는 프론트엔드로는 SincNet [6] 과 LEAF [7] 가 있으나 로그·PCEN 같은 비선형 압축을 포함하므로 MAX78000 가속기에 그대로 올릴 수 없다. CPU 추론 대조군은 CMSIS-NN [8] 으로 구현했다. 데이터는 FSD50K [9]·UrbanSound8K [10]·ESC-50 [11] 과 AudioSet [12] 을 썼고, 대형 모델 기준선과 증류 교사로 PANNs [13] 를 썼다.</w:t>
      </w:r>
    </w:p>
    <w:p>
      <w:pPr>
        <w:spacing w:after="40" w:before="0" w:line="276" w:lineRule="auto"/>
      </w:pPr>
      <w:r>
        <w:rPr>
          <w:rFonts w:ascii="맑은 고딕" w:hAnsi="맑은 고딕" w:eastAsia="맑은 고딕" w:cs="맑은 고딕"/>
          <w:b/>
          <w:i w:val="0"/>
          <w:sz w:val="20"/>
        </w:rPr>
        <w:t>3. 시스템과 실험 설계</w:t>
      </w:r>
    </w:p>
    <w:p>
      <w:pPr>
        <w:spacing w:after="40" w:before="0" w:line="276" w:lineRule="auto"/>
        <w:ind w:firstLine="180"/>
        <w:jc w:val="both"/>
      </w:pPr>
      <w:r>
        <w:rPr>
          <w:rFonts w:ascii="맑은 고딕" w:hAnsi="맑은 고딕" w:eastAsia="맑은 고딕" w:cs="맑은 고딕"/>
          <w:b w:val="0"/>
          <w:i w:val="0"/>
          <w:sz w:val="18"/>
        </w:rPr>
        <w:t>시스템. MAX78000FTHR 단독으로 온보드 마이크 16 kHz 입력을 1.024 s 창(16,384 샘플, int8)으로 받아 250 ms 마다(가속기 전처리 구성은 프레임 격자에 맞춰 256 ms 마다) 5클래스(사이렌·유리 파손·비명·개 짖음·배경)를 판단한다. 모델은 가중치 8 bit QAT, 가속기 가중치 메모리 442 KB 안에 들어간다.</w:t>
      </w:r>
    </w:p>
    <w:p>
      <w:pPr>
        <w:spacing w:after="40" w:before="0" w:line="276" w:lineRule="auto"/>
        <w:ind w:firstLine="180"/>
        <w:jc w:val="both"/>
      </w:pPr>
      <w:r>
        <w:rPr>
          <w:rFonts w:ascii="맑은 고딕" w:hAnsi="맑은 고딕" w:eastAsia="맑은 고딕" w:cs="맑은 고딕"/>
          <w:b w:val="0"/>
          <w:i w:val="0"/>
          <w:sz w:val="18"/>
        </w:rPr>
        <w:t>데이터와 정답. 세 공개 데이터셋은 모두 Freesound 파생이라 원본 ID 단위로 전역 분할해 누수를 막았고, AudioSet 의 실환경 녹음 구간을 학습에 더했다. 시험 데이터의 유리·비명 창은 저자가 전수 청취해 양성을 확정했다(채점 창 4,965). 외부 평가는 AudioSet 의 별도 영상에서 뽑은 673창(양성 271, 음성 402) 으로, 학습에 쓰지 않았다. 오경보율은 시험 데이터 배경에서 300회/h 가 되는 문턱값을 잡아 외부에도 같은 값을 썼고, 지표는 macro-F1 이다.</w:t>
      </w:r>
    </w:p>
    <w:p>
      <w:pPr>
        <w:spacing w:after="40" w:before="0" w:line="276" w:lineRule="auto"/>
        <w:ind w:firstLine="180"/>
        <w:jc w:val="both"/>
      </w:pPr>
      <w:r>
        <w:rPr>
          <w:rFonts w:ascii="맑은 고딕" w:hAnsi="맑은 고딕" w:eastAsia="맑은 고딕" w:cs="맑은 고딕"/>
          <w:b w:val="0"/>
          <w:i w:val="0"/>
          <w:sz w:val="18"/>
        </w:rPr>
        <w:t>구성. 원본 파형 (전처리 없음): 원본 파형을 128×128 로 접어 1D CNN 에 넣는 벤더 방식. NPU 근사 log: 로그 압축을 NPU 안의 구간선형 층으로 근사한 1D 구성. NPU 전처리 (Gabor 필터뱅크): 멜 대역폭에 맞춘 512탭 Gabor 필터(cos·sin 32쌍)를 가속기의 Conv1d 로 두고 프레임 안 에너지 적분(|cos|+|sin| 의 8위치 합)과 정수 로그만 CPU 가 맡은 뒤, 그 32×16 특징을 아래 62.5 ms 구성과 같은 2D CNN 에 넣는 구성 — 두 네트워크를 가속기에 동시 적재하고 판단마다 전환한다(판단 주기 256 ms). CPU log-mel 네 구성: 프레임 간격 62.5 ms(멜 32)·50 ms(멜 32)·25 ms(멜 64)·16 ms(멜 64) 의 증분 log-mel을 CPU 가 계산하고 2D CNN 을 NPU 에 올린다. 모든 구성의 전처리는 판단마다 새 프레임만 계산하는 증분 방식이며, 일괄 계산과 비트 일치함을 보드에서 확인했다. CPU 추론: 원본 파형 (전처리 없음) 의 가중치를 그대로 CMSIS-NN 으로 Cortex-M4F 에서 돌린 대조군(NPU 출력과 비트 일치). 모든 구성은 같은 데이터로 150 에폭, 같은 스케줄·증강·교사 증류(PANNs 임베딩 위 선형 프로브)로 시드 3개씩 학습했다.</w:t>
      </w:r>
    </w:p>
    <w:p>
      <w:pPr>
        <w:spacing w:after="40" w:before="0" w:line="276" w:lineRule="auto"/>
        <w:ind w:firstLine="180"/>
        <w:jc w:val="both"/>
      </w:pPr>
      <w:r>
        <w:rPr>
          <w:rFonts w:ascii="맑은 고딕" w:hAnsi="맑은 고딕" w:eastAsia="맑은 고딕" w:cs="맑은 고딕"/>
          <w:b w:val="0"/>
          <w:i w:val="0"/>
          <w:sz w:val="18"/>
        </w:rPr>
        <w:t>지연과 에너지. 지연은 보드에서 SysTick(코어 클럭 사이클, 분해능 10 ns)으로 1,000회 재어 최악값을 보고한다(전원 투입 직후, 코어 100 MHz, CNN 50 MHz; CPU 추론만 SysTick 의 24 bit 한계(168 ms)를 넘어 하드웨어 타이머 TMR0, 1 μs 분해능). 에너지는 외부 계측 장비 없이 E = t전처리·Pcpu + (t적재 + t출력)·Pload + t추론·Pnpu 로 추정했으며, 전력값은 데이터시트 [1] 와 동일 칩 실측 선행연구 두 벌(Moss·Ulkar &amp; Okman [3, 4], Moosmann [5])의 세 출처를 나란히 써 범위로 보고한다. 측정값이 아님을 모든 수치에 밝힌다.</w:t>
      </w:r>
    </w:p>
    <w:p>
      <w:pPr>
        <w:spacing w:after="40" w:before="0" w:line="276" w:lineRule="auto"/>
      </w:pPr>
      <w:r>
        <w:rPr>
          <w:rFonts w:ascii="맑은 고딕" w:hAnsi="맑은 고딕" w:eastAsia="맑은 고딕" w:cs="맑은 고딕"/>
          <w:b/>
          <w:i w:val="0"/>
          <w:sz w:val="20"/>
        </w:rPr>
        <w:t>4. 결  과</w:t>
      </w:r>
    </w:p>
    <w:p>
      <w:pPr>
        <w:spacing w:after="40" w:before="0" w:line="276" w:lineRule="auto"/>
        <w:ind w:firstLine="180"/>
        <w:jc w:val="both"/>
      </w:pPr>
      <w:r>
        <w:rPr>
          <w:rFonts w:ascii="맑은 고딕" w:hAnsi="맑은 고딕" w:eastAsia="맑은 고딕" w:cs="맑은 고딕"/>
          <w:b w:val="0"/>
          <w:i w:val="0"/>
          <w:sz w:val="18"/>
        </w:rPr>
        <w:t>전처리 제거의 비용. 원본 파형 구성은 CPU log-mel 16 ms 구성보다 시험 macro-F1 이 0.166, 외부 F1 이 0.222 낮다(표 1). 음성 키워드에서 손실이 없던 선택이 환경음에서는 큰 비용을 치른다. 같은 가중치를 CPU 로 돌린 CMSIS-NN 대조군과 비교하면 NPU 추론은 추론만 157배, 판단 1회 89배 빠르고 CPU 추론은 판단 주기의 90% 를 추론에 쓴다(그림 2).</w:t>
      </w:r>
    </w:p>
    <w:p>
      <w:pPr>
        <w:spacing w:after="40" w:before="0" w:line="276" w:lineRule="auto"/>
        <w:ind w:firstLine="180"/>
        <w:jc w:val="both"/>
      </w:pPr>
      <w:r>
        <w:rPr>
          <w:rFonts w:ascii="맑은 고딕" w:hAnsi="맑은 고딕" w:eastAsia="맑은 고딕" w:cs="맑은 고딕"/>
          <w:b w:val="0"/>
          <w:i w:val="0"/>
          <w:sz w:val="18"/>
        </w:rPr>
        <w:t>NPU 로 옮긴 전처리는 되찾지 못한다. NPU 근사 log 는 원본 파형 구성 대비 +0.034 [-0.022, +0.090] 로 CI 가 0 을 포함하고, 로그 근사 층 때문에 NPU 사이클이 3.8배 늘어 추정 에너지는 3.3배다. 앞선 라운드(v1 데이터)에서 시험한 변형들도 같았다: 멜 필터뱅크 초기화 Conv1d + Abs (D-1) -0.026 [-0.057, +0.006]; D-1 탭 256 / 512 (k=2 / k=4) -0.050 / -0.032; NPU 구간선형 로그 ((a), v1) +0.003 [-0.028, +0.034]; NPU 필터뱅크 + CPU 정수 로그 분할 ((c)) -0.012 [-0.042, +0.018]; 원본 파형 2D 재배열 (wave2D) -0.019. 지원하지 않는 비선형을 합성곱으로 흉내 내는 순간 NPU 는 CPU 보다 비싸진다.</w:t>
      </w:r>
    </w:p>
    <w:p>
      <w:pPr>
        <w:spacing w:after="40" w:before="0" w:line="276" w:lineRule="auto"/>
        <w:ind w:firstLine="180"/>
        <w:jc w:val="both"/>
      </w:pPr>
      <w:r>
        <w:rPr>
          <w:rFonts w:ascii="맑은 고딕" w:hAnsi="맑은 고딕" w:eastAsia="맑은 고딕" w:cs="맑은 고딕"/>
          <w:b w:val="0"/>
          <w:i w:val="0"/>
          <w:sz w:val="18"/>
        </w:rPr>
        <w:t xml:space="preserve">선형 부분만 옮기면 에너지는 줄지만 정확도는 그대로다. NPU 전처리 (Gabor 필터뱅크) 는 사전에 정한 목표(원본 파형 구성 초과 또는 CPU log-mel 62.5 ms 구성과 동등)는 넘지 못했다(원본 파형 구성 대비 -0.026 [-0.082, +0.030], CPU log-mel 62.5 ms 구성 대비 -0.111 [-0.162, -0.060]). 추정 에너지는 원본 파형 구성보다 세 전력 출처 모두에서 적지만(데이터시트 40 대 71 μJ, Moosmann 56 대 78 μJ; 판단 1회 1.98 ms 대 2.53 ms), CPU log-mel 62.5 ms 구성과는 비슷한 에너지(데이터시트 기준 40 대 43 μJ, 차이 3 μJ 는 측정 펌웨어 차이 수준)에서 시험 macro-F1 이 0.11 낮다. 두 네트워크를 동시 적재한 보드에서 가속기 출력·CPU 특징·최종 로짓이 전부 호스트와 비트 일치했고, CPU 몫 0.84 ms 중 67%는 가속기 메모리에서 int32 출력 2,048개를 읽어 절댓값과 8위치 합산까지 하는 시간, 33%는 정수 로그였다(보드 실측). </w:t>
      </w:r>
    </w:p>
    <w:p>
      <w:pPr>
        <w:spacing w:after="40" w:before="0" w:line="276" w:lineRule="auto"/>
        <w:ind w:firstLine="180"/>
        <w:jc w:val="both"/>
      </w:pPr>
      <w:r>
        <w:rPr>
          <w:rFonts w:ascii="맑은 고딕" w:hAnsi="맑은 고딕" w:eastAsia="맑은 고딕" w:cs="맑은 고딕"/>
          <w:b w:val="0"/>
          <w:i w:val="0"/>
          <w:sz w:val="18"/>
        </w:rPr>
        <w:t>대역·프레임 수를 늘린 NPU 전처리 변형 3종은 시험 macro-F1 이 0.655~0.690 으로 올랐으나(표 1) 추정 에너지가 40 에서 74~139 μJ 로 더 빠르게 늘어 세 전력 출처 모두에서 CPU 전처리 곡선 아래에 머물렀다(그림 1). 주된 비용은 NPU 연산(36~41%)이 아니라 CPU 몫(50~55%)이었다. 로그를 가속기가 지원하면 두 몫이 함께 줄어들 수 있다는 점은 같으나, 비용을 데이터 이동만으로 설명할 수는 없다.</w:t>
      </w:r>
    </w:p>
    <w:p>
      <w:pPr>
        <w:spacing w:after="40" w:before="0" w:line="276" w:lineRule="auto"/>
        <w:ind w:firstLine="180"/>
        <w:jc w:val="both"/>
      </w:pPr>
      <w:r>
        <w:rPr>
          <w:rFonts w:ascii="맑은 고딕" w:hAnsi="맑은 고딕" w:eastAsia="맑은 고딕" w:cs="맑은 고딕"/>
          <w:b w:val="0"/>
          <w:i w:val="0"/>
          <w:sz w:val="18"/>
        </w:rPr>
        <w:t>최적점은 중간에 있다. CPU log-mel 62.5 ms 구성은 원본 파형 구성보다 시험 macro-F1 +0.085 [+0.035, +0.135], 외부 F1 +0.099 [+0.056, +0.142] 로 유의하게 높고, 판단 1회 지연은 2.93 ms 대 2.53 ms 로 비슷하며, 추정 에너지는 데이터시트 기준 43 대 71 μJ 로 적고 Moosmann 기준 78 대 78 μJ 로 같다. 이유는 그림 2 에 있다. log-mel이 16,384 샘플을 512 값으로 줄이므로 NPU 추론이 1.44 ms 에서 0.53 ms 로 줄고, CPU 전처리 2.26 ms 가 그 차이보다 작다. 전처리는 병목이 아니라 데이터 축소 단계였고, NPU 가 원시 샘플 전량을 처리하는 순간 그 이득이 사라진다. 프레임 간격을 좁힐수록 정확도는 오르지만 (CPU log-mel 25 ms 0.820 ± 0.006, CPU log-mel 16 ms 0.836 ± 0.002) 전처리가 지연의 2/3 를 차지해 에너지가 6배가 된다. CPU log-mel 25 ms 와 CPU log-mel 16 ms 의 차이는 -0.016 [-0.030, -0.002] 로 작지만 0 을 포함하지 않았다. 그림 1 의 파레토 앞면은 NPU 전처리 (Gabor 필터뱅크) → CPU log-mel, 간격 62.5 ms (멜 32) → CPU log-mel, 간격 50 ms → CPU log-mel, 간격 25 ms → CPU log-mel, 간격 16 ms 이다. 다만 NPU 전처리 (Gabor 필터뱅크) 와 CPU log-mel 62.5 ms 구성의 에너지 차이(데이터시트 기준 약 3 μJ)는 작아, 두 구성의 차이는 사실상 정확도에서 난다. 원본 파형 구성과 NPU 근사 log 는 모두 다른 점에 지배된다.</w:t>
      </w:r>
    </w:p>
    <w:p>
      <w:pPr>
        <w:spacing w:after="40" w:before="0" w:line="276" w:lineRule="auto"/>
        <w:ind w:firstLine="180"/>
        <w:jc w:val="both"/>
      </w:pPr>
      <w:r>
        <w:rPr>
          <w:rFonts w:ascii="맑은 고딕" w:hAnsi="맑은 고딕" w:eastAsia="맑은 고딕" w:cs="맑은 고딕"/>
          <w:b w:val="0"/>
          <w:i w:val="0"/>
          <w:sz w:val="18"/>
        </w:rPr>
        <w:t>대형 모델 기준선. 같은 정답·같은 문턱값 규칙으로 PANNs(CNN14) 를 채점하면 시험 macro-F1 0.845 이다. CPU log-mel 16 ms 구성은 그 99% 에 이른다.</w:t>
      </w:r>
    </w:p>
    <w:p>
      <w:pPr>
        <w:spacing w:after="40" w:before="0" w:line="276" w:lineRule="auto"/>
        <w:ind w:firstLine="180"/>
        <w:jc w:val="both"/>
      </w:pPr>
      <w:r>
        <w:rPr>
          <w:rFonts w:ascii="맑은 고딕" w:hAnsi="맑은 고딕" w:eastAsia="맑은 고딕" w:cs="맑은 고딕"/>
          <w:b w:val="0"/>
          <w:i w:val="0"/>
          <w:sz w:val="18"/>
        </w:rPr>
        <w:t>NPU 전처리의 비용을 결정한 것은 NPU 연산량이 아니라, 로그 연산을 NPU 에서 수행할 수 없어 중간 결과를 CPU 로 읽어 와야 하는 데이터 이동과 정수 로그였다. 가속기 내부에서 비선형 압축을 지원하면 이 경계가 달라질 수 있다. 증분 계산 없이 창 전체를 매번 계산했다면 CPU log-mel 62.5 ms 구성과 NPU 전처리 (Gabor 필터뱅크) 모두 원본 파형 구성보다 에너지가 컸을 것으로 추정되어(일괄 전처리 사이클 = 새 프레임 비용 × 전체 프레임 수, 같은 전력 상수), 전처리의 이점은 증분 계산을 전제로 한다.</w:t>
      </w:r>
    </w:p>
    <w:p>
      <w:pPr>
        <w:spacing w:after="20"/>
        <w:jc w:val="center"/>
      </w:pPr>
      <w:r>
        <w:drawing>
          <wp:inline xmlns:a="http://schemas.openxmlformats.org/drawingml/2006/main" xmlns:pic="http://schemas.openxmlformats.org/drawingml/2006/picture">
            <wp:extent cx="2880000" cy="1239258"/>
            <wp:docPr id="2" name="Picture 2"/>
            <wp:cNvGraphicFramePr>
              <a:graphicFrameLocks noChangeAspect="1"/>
            </wp:cNvGraphicFramePr>
            <a:graphic>
              <a:graphicData uri="http://schemas.openxmlformats.org/drawingml/2006/picture">
                <pic:pic>
                  <pic:nvPicPr>
                    <pic:cNvPr id="0" name="fig2_latency_breakdown.png"/>
                    <pic:cNvPicPr/>
                  </pic:nvPicPr>
                  <pic:blipFill>
                    <a:blip r:embed="rId10"/>
                    <a:stretch>
                      <a:fillRect/>
                    </a:stretch>
                  </pic:blipFill>
                  <pic:spPr>
                    <a:xfrm>
                      <a:off x="0" y="0"/>
                      <a:ext cx="2880000" cy="1239258"/>
                    </a:xfrm>
                    <a:prstGeom prst="rect"/>
                  </pic:spPr>
                </pic:pic>
              </a:graphicData>
            </a:graphic>
          </wp:inline>
        </w:drawing>
      </w:r>
    </w:p>
    <w:p>
      <w:pPr>
        <w:spacing w:after="80" w:before="0" w:line="252" w:lineRule="auto"/>
        <w:jc w:val="both"/>
      </w:pPr>
      <w:r>
        <w:rPr>
          <w:rFonts w:ascii="맑은 고딕" w:hAnsi="맑은 고딕" w:eastAsia="맑은 고딕" w:cs="맑은 고딕"/>
          <w:b w:val="0"/>
          <w:i w:val="0"/>
          <w:sz w:val="16"/>
        </w:rPr>
        <w:t>그림 2. 판단 1회 지연 분해(보드 실측, 1,000회 최악값). 왼쪽은 NPU 추론 7개 구성(CPU 전처리 / 입력 적재 / NPU 추론; NPU 전처리 (Gabor 필터뱅크) 의 변형 3종은 표 1 에만), 오른쪽은 같은 가중치의 CPU 추론(Cortex-M4F, CMSIS-NN)과 판단 주기 250 ms.</w:t>
      </w:r>
    </w:p>
    <w:p>
      <w:pPr>
        <w:spacing w:after="40" w:before="0" w:line="276" w:lineRule="auto"/>
      </w:pPr>
      <w:r>
        <w:rPr>
          <w:rFonts w:ascii="맑은 고딕" w:hAnsi="맑은 고딕" w:eastAsia="맑은 고딕" w:cs="맑은 고딕"/>
          <w:b/>
          <w:i w:val="0"/>
          <w:sz w:val="20"/>
        </w:rPr>
        <w:t>5. 한계와 결론</w:t>
      </w:r>
    </w:p>
    <w:p>
      <w:pPr>
        <w:spacing w:after="40" w:before="0" w:line="276" w:lineRule="auto"/>
        <w:ind w:firstLine="180"/>
        <w:jc w:val="both"/>
      </w:pPr>
      <w:r>
        <w:rPr>
          <w:rFonts w:ascii="맑은 고딕" w:hAnsi="맑은 고딕" w:eastAsia="맑은 고딕" w:cs="맑은 고딕"/>
          <w:b w:val="0"/>
          <w:i w:val="0"/>
          <w:sz w:val="18"/>
        </w:rPr>
        <w:t>한계. 에너지는 직접 계측하지 않은 추정값이며 전력 출처에 따라 결론의 강도가 다르다(CPU log-mel 62.5 ms 구성의 우위는 '적다' 와 '같다' 사이). 시드가 3개라 신뢰구간이 넓다. 정답 청취는 저자 1인이다. 비명과 환호의 경계는 음향만으로 가를 수 없어 비명 재현율은 그 모호성을 포함한다. 시험 데이터 배경의 절반이 하드 네거티브라 오경보율은 실배치보다 부풀려져 있다. NPU 전처리 (Gabor 필터뱅크) 의 CPU 구간은 가속기 전원이 켜진 채 돌므로 적재 전력으로 보수적으로 계산했고, 가속기 메모리 읽기를 DMA 로 바꾸면 더 줄 수 있다. 음량 정규화·필터 해상도·용량 확대 등 원본 파형 쪽 변형을 더 시도할 여지는 남아 있다. 향후 과제로, CPU 몫의 67%를 차지하는 읽기와 위치 합산을 NPU 에서 수행하려면 8비트 출력에 맞춘 재학습이 필요하다.</w:t>
      </w:r>
    </w:p>
    <w:p>
      <w:pPr>
        <w:spacing w:after="40" w:before="0" w:line="276" w:lineRule="auto"/>
        <w:ind w:firstLine="180"/>
        <w:jc w:val="both"/>
      </w:pPr>
      <w:r>
        <w:rPr>
          <w:rFonts w:ascii="맑은 고딕" w:hAnsi="맑은 고딕" w:eastAsia="맑은 고딕" w:cs="맑은 고딕"/>
          <w:b w:val="0"/>
          <w:i w:val="0"/>
          <w:sz w:val="18"/>
        </w:rPr>
        <w:t>결론. NPU 탑재 MCU 에서 '전처리를 전부 가속기로' 는 환경음 감지에서 최적이 아니다. 지원 연산이 제한된 가속기에 비선형 전처리를 옮기는 시도는 정확도도 에너지도 얻지 못했고, 선형 부분만 옮긴 구성은 원본 파형 구성보다 에너지를 줄였지만 CPU 전처리의 저에너지 구성과 비슷한 에너지에서 정확도를 잃어 앞면 끝에 머물렀으며, 작은 CPU 전처리로 데이터량을 줄인 뒤 작은 모델을 가속기에 올리는 구성이 정확도–에너지 전선 위에 있었다. 가속기 설계 지침은 연산 위치가 아니라 가속기에 들어가는 데이터율을 기준으로 세워야 한다.</w:t>
      </w:r>
    </w:p>
    <w:p>
      <w:pPr>
        <w:spacing w:after="40" w:before="0" w:line="276" w:lineRule="auto"/>
      </w:pPr>
      <w:r>
        <w:rPr>
          <w:rFonts w:ascii="맑은 고딕" w:hAnsi="맑은 고딕" w:eastAsia="맑은 고딕" w:cs="맑은 고딕"/>
          <w:b/>
          <w:i w:val="0"/>
          <w:sz w:val="18"/>
        </w:rPr>
        <w:t>참고문헌</w:t>
      </w:r>
    </w:p>
    <w:p>
      <w:pPr>
        <w:spacing w:after="20" w:before="0" w:line="252" w:lineRule="auto"/>
        <w:jc w:val="both"/>
      </w:pPr>
      <w:r>
        <w:rPr>
          <w:rFonts w:ascii="맑은 고딕" w:hAnsi="맑은 고딕" w:eastAsia="맑은 고딕" w:cs="맑은 고딕"/>
          <w:b w:val="0"/>
          <w:i w:val="0"/>
          <w:sz w:val="15"/>
        </w:rPr>
        <w:t>[1] Maxim Integrated, "MAX78000: Artificial Intelligence Microcontroller with Ultra-Low-Power Convolutional Neural Network Accelerator," Data Sheet 19-100868, Rev. 1, May 2021.</w:t>
      </w:r>
    </w:p>
    <w:p>
      <w:pPr>
        <w:spacing w:after="20" w:before="0" w:line="252" w:lineRule="auto"/>
        <w:jc w:val="both"/>
      </w:pPr>
      <w:r>
        <w:rPr>
          <w:rFonts w:ascii="맑은 고딕" w:hAnsi="맑은 고딕" w:eastAsia="맑은 고딕" w:cs="맑은 고딕"/>
          <w:b w:val="0"/>
          <w:i w:val="0"/>
          <w:sz w:val="15"/>
        </w:rPr>
        <w:t>[2] Analog Devices, "MAX78000 User Guide," UG7456, Rev. 1, Mar. 2024.</w:t>
      </w:r>
    </w:p>
    <w:p>
      <w:pPr>
        <w:spacing w:after="20" w:before="0" w:line="252" w:lineRule="auto"/>
        <w:jc w:val="both"/>
      </w:pPr>
      <w:r>
        <w:rPr>
          <w:rFonts w:ascii="맑은 고딕" w:hAnsi="맑은 고딕" w:eastAsia="맑은 고딕" w:cs="맑은 고딕"/>
          <w:b w:val="0"/>
          <w:i w:val="0"/>
          <w:sz w:val="15"/>
        </w:rPr>
        <w:t>[3] A. Moss, H. Lee, L. Xun, C. Min, F. Kawsar, A. Montanari, "Ultra-low power DNN accelerators for IoT: resource characterization of the MAX78000," Proc. SenSys Workshop AIChallengeIoT, 2022.</w:t>
      </w:r>
    </w:p>
    <w:p>
      <w:pPr>
        <w:spacing w:after="20" w:before="0" w:line="252" w:lineRule="auto"/>
        <w:jc w:val="both"/>
      </w:pPr>
      <w:r>
        <w:rPr>
          <w:rFonts w:ascii="맑은 고딕" w:hAnsi="맑은 고딕" w:eastAsia="맑은 고딕" w:cs="맑은 고딕"/>
          <w:b w:val="0"/>
          <w:i w:val="0"/>
          <w:sz w:val="15"/>
        </w:rPr>
        <w:t>[4] M. G. Ulkar, O. E. Okman, "Ultra-low power keyword spotting at the edge," arXiv:2111.04988, 2021.</w:t>
      </w:r>
    </w:p>
    <w:p>
      <w:pPr>
        <w:spacing w:after="20" w:before="0" w:line="252" w:lineRule="auto"/>
        <w:jc w:val="both"/>
      </w:pPr>
      <w:r>
        <w:rPr>
          <w:rFonts w:ascii="맑은 고딕" w:hAnsi="맑은 고딕" w:eastAsia="맑은 고딕" w:cs="맑은 고딕"/>
          <w:b w:val="0"/>
          <w:i w:val="0"/>
          <w:sz w:val="15"/>
        </w:rPr>
        <w:t>[5] J. Moosmann, M. Giordano, C. Vogt, M. Magno, "TinyissimoYOLO: a quantized, low-memory and ultralow-power object detection network for microcontrollers," Proc. IEEE AICAS, 2023.</w:t>
      </w:r>
    </w:p>
    <w:p>
      <w:pPr>
        <w:spacing w:after="20" w:before="0" w:line="252" w:lineRule="auto"/>
        <w:jc w:val="both"/>
      </w:pPr>
      <w:r>
        <w:rPr>
          <w:rFonts w:ascii="맑은 고딕" w:hAnsi="맑은 고딕" w:eastAsia="맑은 고딕" w:cs="맑은 고딕"/>
          <w:b w:val="0"/>
          <w:i w:val="0"/>
          <w:sz w:val="15"/>
        </w:rPr>
        <w:t>[6] M. Ravanelli, Y. Bengio, "Speaker recognition from raw waveform with SincNet," Proc. IEEE SLT, pp. 1021–1028, 2018.</w:t>
      </w:r>
    </w:p>
    <w:p>
      <w:pPr>
        <w:spacing w:after="20" w:before="0" w:line="252" w:lineRule="auto"/>
        <w:jc w:val="both"/>
      </w:pPr>
      <w:r>
        <w:rPr>
          <w:rFonts w:ascii="맑은 고딕" w:hAnsi="맑은 고딕" w:eastAsia="맑은 고딕" w:cs="맑은 고딕"/>
          <w:b w:val="0"/>
          <w:i w:val="0"/>
          <w:sz w:val="15"/>
        </w:rPr>
        <w:t>[7] N. Zeghidour, O. Teboul, F. de Chaumont Quitry, M. Tagliasacchi, "LEAF: a learnable frontend for audio classification," Proc. ICLR, 2021.</w:t>
      </w:r>
    </w:p>
    <w:p>
      <w:pPr>
        <w:spacing w:after="20" w:before="0" w:line="252" w:lineRule="auto"/>
        <w:jc w:val="both"/>
      </w:pPr>
      <w:r>
        <w:rPr>
          <w:rFonts w:ascii="맑은 고딕" w:hAnsi="맑은 고딕" w:eastAsia="맑은 고딕" w:cs="맑은 고딕"/>
          <w:b w:val="0"/>
          <w:i w:val="0"/>
          <w:sz w:val="15"/>
        </w:rPr>
        <w:t>[8] L. Lai, N. Suda, V. Chandra, "CMSIS-NN: efficient neural network kernels for Arm Cortex-M CPUs," arXiv:1801.06601, 2018.</w:t>
      </w:r>
    </w:p>
    <w:p>
      <w:pPr>
        <w:spacing w:after="20" w:before="0" w:line="252" w:lineRule="auto"/>
        <w:jc w:val="both"/>
      </w:pPr>
      <w:r>
        <w:rPr>
          <w:rFonts w:ascii="맑은 고딕" w:hAnsi="맑은 고딕" w:eastAsia="맑은 고딕" w:cs="맑은 고딕"/>
          <w:b w:val="0"/>
          <w:i w:val="0"/>
          <w:sz w:val="15"/>
        </w:rPr>
        <w:t>[9] E. Fonseca, X. Favory, J. Pons, F. Font, X. Serra, "FSD50K: an open dataset of human-labeled sound events," IEEE/ACM TASLP, vol. 30, pp. 829–852, 2022.</w:t>
      </w:r>
    </w:p>
    <w:p>
      <w:pPr>
        <w:spacing w:after="20" w:before="0" w:line="252" w:lineRule="auto"/>
        <w:jc w:val="both"/>
      </w:pPr>
      <w:r>
        <w:rPr>
          <w:rFonts w:ascii="맑은 고딕" w:hAnsi="맑은 고딕" w:eastAsia="맑은 고딕" w:cs="맑은 고딕"/>
          <w:b w:val="0"/>
          <w:i w:val="0"/>
          <w:sz w:val="15"/>
        </w:rPr>
        <w:t>[10] J. Salamon, C. Jacoby, J. P. Bello, "A dataset and taxonomy for urban sound research," Proc. ACM Multimedia, pp. 1041–1044, 2014.</w:t>
      </w:r>
    </w:p>
    <w:p>
      <w:pPr>
        <w:spacing w:after="20" w:before="0" w:line="252" w:lineRule="auto"/>
        <w:jc w:val="both"/>
      </w:pPr>
      <w:r>
        <w:rPr>
          <w:rFonts w:ascii="맑은 고딕" w:hAnsi="맑은 고딕" w:eastAsia="맑은 고딕" w:cs="맑은 고딕"/>
          <w:b w:val="0"/>
          <w:i w:val="0"/>
          <w:sz w:val="15"/>
        </w:rPr>
        <w:t>[11] K. J. Piczak, "ESC: dataset for environmental sound classification," Proc. ACM Multimedia, pp. 1015–1018, 2015.</w:t>
      </w:r>
    </w:p>
    <w:p>
      <w:pPr>
        <w:spacing w:after="20" w:before="0" w:line="252" w:lineRule="auto"/>
        <w:jc w:val="both"/>
      </w:pPr>
      <w:r>
        <w:rPr>
          <w:rFonts w:ascii="맑은 고딕" w:hAnsi="맑은 고딕" w:eastAsia="맑은 고딕" w:cs="맑은 고딕"/>
          <w:b w:val="0"/>
          <w:i w:val="0"/>
          <w:sz w:val="15"/>
        </w:rPr>
        <w:t>[12] J. F. Gemmeke et al., "Audio Set: an ontology and human-labeled dataset for audio events," Proc. ICASSP, pp. 776–780, 2017.</w:t>
      </w:r>
    </w:p>
    <w:p>
      <w:pPr>
        <w:spacing w:after="20" w:before="0" w:line="252" w:lineRule="auto"/>
        <w:jc w:val="both"/>
      </w:pPr>
      <w:r>
        <w:rPr>
          <w:rFonts w:ascii="맑은 고딕" w:hAnsi="맑은 고딕" w:eastAsia="맑은 고딕" w:cs="맑은 고딕"/>
          <w:b w:val="0"/>
          <w:i w:val="0"/>
          <w:sz w:val="15"/>
        </w:rPr>
        <w:t>[13] Q. Kong, Y. Cao, T. Iqbal, Y. Wang, W. Wang, M. D. Plumbley, "PANNs: large-scale pretrained audio neural networks for audio pattern recognition," IEEE/ACM TASLP, vol. 28, pp. 2880–2894, 2020.</w:t>
      </w:r>
    </w:p>
    <w:sectPr w:rsidR="00FC693F" w:rsidRPr="0006063C" w:rsidSect="00034616">
      <w:type w:val="continuous"/>
      <w:pgSz w:w="11906" w:h="16838"/>
      <w:pgMar w:top="1701" w:right="567" w:bottom="1134" w:left="567" w:header="0" w:footer="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