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10개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원파형보다 에너지가 적지만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주황 점선은 NPU 전처리 계열(Gabor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2.09 ms.</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전처리 64 대역</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80 / 105</w:t>
            </w:r>
          </w:p>
        </w:tc>
        <w:tc>
          <w:tcPr>
            <w:tcW w:type="dxa" w:w="1871"/>
          </w:tcPr>
          <w:p>
            <w:pPr>
              <w:spacing w:after="0" w:before="0"/>
              <w:jc w:val="center"/>
            </w:pPr>
            <w:r/>
            <w:r>
              <w:rPr>
                <w:rFonts w:ascii="맑은 고딕" w:hAnsi="맑은 고딕" w:eastAsia="맑은 고딕" w:cs="맑은 고딕"/>
                <w:b w:val="0"/>
                <w:i w:val="0"/>
                <w:sz w:val="15"/>
              </w:rPr>
              <w:t>0.687 ± 0.005</w:t>
            </w:r>
          </w:p>
        </w:tc>
        <w:tc>
          <w:tcPr>
            <w:tcW w:type="dxa" w:w="1871"/>
          </w:tcPr>
          <w:p>
            <w:pPr>
              <w:spacing w:after="0" w:before="0"/>
              <w:jc w:val="center"/>
            </w:pPr>
            <w:r/>
            <w:r>
              <w:rPr>
                <w:rFonts w:ascii="맑은 고딕" w:hAnsi="맑은 고딕" w:eastAsia="맑은 고딕" w:cs="맑은 고딕"/>
                <w:b w:val="0"/>
                <w:i w:val="0"/>
                <w:sz w:val="15"/>
              </w:rPr>
              <w:t>0.504 ± 0.021</w:t>
            </w:r>
          </w:p>
        </w:tc>
      </w:tr>
      <w:tr>
        <w:tc>
          <w:tcPr>
            <w:tcW w:type="dxa" w:w="3402"/>
          </w:tcPr>
          <w:p>
            <w:pPr>
              <w:spacing w:after="0" w:before="0"/>
              <w:jc w:val="left"/>
            </w:pPr>
            <w:r/>
            <w:r>
              <w:rPr>
                <w:rFonts w:ascii="맑은 고딕" w:hAnsi="맑은 고딕" w:eastAsia="맑은 고딕" w:cs="맑은 고딕"/>
                <w:b w:val="0"/>
                <w:i w:val="0"/>
                <w:sz w:val="15"/>
              </w:rPr>
              <w:t>NPU 전처리 31 프레임</w:t>
            </w:r>
          </w:p>
        </w:tc>
        <w:tc>
          <w:tcPr>
            <w:tcW w:type="dxa" w:w="1361"/>
          </w:tcPr>
          <w:p>
            <w:pPr>
              <w:spacing w:after="0" w:before="0"/>
              <w:jc w:val="center"/>
            </w:pPr>
            <w:r/>
            <w:r>
              <w:rPr>
                <w:rFonts w:ascii="맑은 고딕" w:hAnsi="맑은 고딕" w:eastAsia="맑은 고딕" w:cs="맑은 고딕"/>
                <w:b w:val="0"/>
                <w:i w:val="0"/>
                <w:sz w:val="15"/>
              </w:rPr>
              <w:t>3.52</w:t>
            </w:r>
          </w:p>
        </w:tc>
        <w:tc>
          <w:tcPr>
            <w:tcW w:type="dxa" w:w="2268"/>
          </w:tcPr>
          <w:p>
            <w:pPr>
              <w:spacing w:after="0" w:before="0"/>
              <w:jc w:val="center"/>
            </w:pPr>
            <w:r/>
            <w:r>
              <w:rPr>
                <w:rFonts w:ascii="맑은 고딕" w:hAnsi="맑은 고딕" w:eastAsia="맑은 고딕" w:cs="맑은 고딕"/>
                <w:b w:val="0"/>
                <w:i w:val="0"/>
                <w:sz w:val="15"/>
              </w:rPr>
              <w:t>74 / 100</w:t>
            </w:r>
          </w:p>
        </w:tc>
        <w:tc>
          <w:tcPr>
            <w:tcW w:type="dxa" w:w="1871"/>
          </w:tcPr>
          <w:p>
            <w:pPr>
              <w:spacing w:after="0" w:before="0"/>
              <w:jc w:val="center"/>
            </w:pPr>
            <w:r/>
            <w:r>
              <w:rPr>
                <w:rFonts w:ascii="맑은 고딕" w:hAnsi="맑은 고딕" w:eastAsia="맑은 고딕" w:cs="맑은 고딕"/>
                <w:b w:val="0"/>
                <w:i w:val="0"/>
                <w:sz w:val="15"/>
              </w:rPr>
              <w:t>0.655 ± 0.011</w:t>
            </w:r>
          </w:p>
        </w:tc>
        <w:tc>
          <w:tcPr>
            <w:tcW w:type="dxa" w:w="1871"/>
          </w:tcPr>
          <w:p>
            <w:pPr>
              <w:spacing w:after="0" w:before="0"/>
              <w:jc w:val="center"/>
            </w:pPr>
            <w:r/>
            <w:r>
              <w:rPr>
                <w:rFonts w:ascii="맑은 고딕" w:hAnsi="맑은 고딕" w:eastAsia="맑은 고딕" w:cs="맑은 고딕"/>
                <w:b w:val="0"/>
                <w:i w:val="0"/>
                <w:sz w:val="15"/>
              </w:rPr>
              <w:t>0.465 ± 0.006</w:t>
            </w:r>
          </w:p>
        </w:tc>
      </w:tr>
      <w:tr>
        <w:tc>
          <w:tcPr>
            <w:tcW w:type="dxa" w:w="3402"/>
          </w:tcPr>
          <w:p>
            <w:pPr>
              <w:spacing w:after="0" w:before="0"/>
              <w:jc w:val="left"/>
            </w:pPr>
            <w:r/>
            <w:r>
              <w:rPr>
                <w:rFonts w:ascii="맑은 고딕" w:hAnsi="맑은 고딕" w:eastAsia="맑은 고딕" w:cs="맑은 고딕"/>
                <w:b w:val="0"/>
                <w:i w:val="0"/>
                <w:sz w:val="15"/>
              </w:rPr>
              <w:t>NPU 전처리 64 대역·31 프레임</w:t>
            </w:r>
          </w:p>
        </w:tc>
        <w:tc>
          <w:tcPr>
            <w:tcW w:type="dxa" w:w="1361"/>
          </w:tcPr>
          <w:p>
            <w:pPr>
              <w:spacing w:after="0" w:before="0"/>
              <w:jc w:val="center"/>
            </w:pPr>
            <w:r/>
            <w:r>
              <w:rPr>
                <w:rFonts w:ascii="맑은 고딕" w:hAnsi="맑은 고딕" w:eastAsia="맑은 고딕" w:cs="맑은 고딕"/>
                <w:b w:val="0"/>
                <w:i w:val="0"/>
                <w:sz w:val="15"/>
              </w:rPr>
              <w:t>6.49</w:t>
            </w:r>
          </w:p>
        </w:tc>
        <w:tc>
          <w:tcPr>
            <w:tcW w:type="dxa" w:w="2268"/>
          </w:tcPr>
          <w:p>
            <w:pPr>
              <w:spacing w:after="0" w:before="0"/>
              <w:jc w:val="center"/>
            </w:pPr>
            <w:r/>
            <w:r>
              <w:rPr>
                <w:rFonts w:ascii="맑은 고딕" w:hAnsi="맑은 고딕" w:eastAsia="맑은 고딕" w:cs="맑은 고딕"/>
                <w:b w:val="0"/>
                <w:i w:val="0"/>
                <w:sz w:val="15"/>
              </w:rPr>
              <w:t>139 / 185</w:t>
            </w:r>
          </w:p>
        </w:tc>
        <w:tc>
          <w:tcPr>
            <w:tcW w:type="dxa" w:w="1871"/>
          </w:tcPr>
          <w:p>
            <w:pPr>
              <w:spacing w:after="0" w:before="0"/>
              <w:jc w:val="center"/>
            </w:pPr>
            <w:r/>
            <w:r>
              <w:rPr>
                <w:rFonts w:ascii="맑은 고딕" w:hAnsi="맑은 고딕" w:eastAsia="맑은 고딕" w:cs="맑은 고딕"/>
                <w:b w:val="0"/>
                <w:i w:val="0"/>
                <w:sz w:val="15"/>
              </w:rPr>
              <w:t>0.690 ± 0.021</w:t>
            </w:r>
          </w:p>
        </w:tc>
        <w:tc>
          <w:tcPr>
            <w:tcW w:type="dxa" w:w="1871"/>
          </w:tcPr>
          <w:p>
            <w:pPr>
              <w:spacing w:after="0" w:before="0"/>
              <w:jc w:val="center"/>
            </w:pPr>
            <w:r/>
            <w:r>
              <w:rPr>
                <w:rFonts w:ascii="맑은 고딕" w:hAnsi="맑은 고딕" w:eastAsia="맑은 고딕" w:cs="맑은 고딕"/>
                <w:b w:val="0"/>
                <w:i w:val="0"/>
                <w:sz w:val="15"/>
              </w:rPr>
              <w:t>0.508 ± 0.023</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40 대 71 μJ, Moosmann 56 대 78 μJ; 판단 1회 1.98 ms 대 2.53 ms), CPU log-mel 62.5 ms 구성과는 비슷한 에너지(데이터시트 기준 40 대 43 μJ, 차이 3 μJ 는 측정 펌웨어 차이 수준)에서 시험 macro-F1 이 0.11 낮다.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40 에서 74~139 μJ 로 더 빠르게 늘어 세 전력 출처 모두에서 CPU 전처리 곡선 아래에 머물렀다(그림 1). 주된 비용은 NPU 연산(36~41%)이 아니라 CPU 가 가속기 메모리에서 결과를 읽어 오는 시간(50~55%)이었다.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CPU log-mel, 간격 62.5 ms (멜 32) → CPU log-mel, 간격 50 ms → CPU log-mel, 간격 25 ms → CPU log-mel, 간격 16 ms 이고, 그 저에너지 끝에 NPU 전처리 (Gabor 필터뱅크) 가 CPU log-mel 62.5 ms 구성과 근접해 있다(앞면 끝).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76" w:lineRule="auto"/>
        <w:ind w:firstLine="180"/>
        <w:jc w:val="both"/>
      </w:pPr>
      <w:r>
        <w:rPr>
          <w:rFonts w:ascii="맑은 고딕" w:hAnsi="맑은 고딕" w:eastAsia="맑은 고딕" w:cs="맑은 고딕"/>
          <w:b w:val="0"/>
          <w:i w:val="0"/>
          <w:sz w:val="18"/>
        </w:rPr>
        <w:t>NPU 전처리의 비용을 결정한 것은 NPU 연산량이 아니라, 로그 연산을 NPU 에서 수행할 수 없어 중간 결과를 CPU 로 읽어 와야 하는 데이터 이동이었다. 가속기 내부에서 비선형 압축을 지원하면 이 경계가 달라질 수 있다.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원파형보다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