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[학부생논문] 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76"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로그 멜 전처리를 어디에 둘지가 정확도와 판단당 에너지에 미치는 영향을 7개 구성으로 같은 데이터·같은 보드에서 실측했다. 벤더 참조 설계처럼 원파형을 NPU 에 직접 넣어 전처리를 없앤 구성은 CPU 로그 멜 구성보다 시험셋 macro-F1 이 0.166 낮았고, 로그 압축을 NPU 연산으로 근사한 변형은 이 격차를 되찾지 못했으며, 선형 부분(필터뱅크와 에너지 적분)만 NPU 로 옮긴 구성은 에너지를 가장 적게 쓰지만 정확도는 원파형과 같았다. 반면 프레임 간격을 넓힌 거친 로그 멜을 CPU 에 남기고 작은 2D CNN 을 NPU 에 올린 구성은 원파형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파레토 앞면은 양 끝이 아니라 전처리를 나눈 중간 구성들로 이루어짐을 보인다.</w:t>
      </w:r>
    </w:p>
    <w:p>
      <w:pPr>
        <w:spacing w:after="20"/>
        <w:jc w:val="center"/>
      </w:pPr>
      <w:r>
        <w:drawing>
          <wp:inline xmlns:a="http://schemas.openxmlformats.org/drawingml/2006/main" xmlns:pic="http://schemas.openxmlformats.org/drawingml/2006/picture">
            <wp:extent cx="5400000" cy="2453457"/>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400000" cy="2453457"/>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공개 전력값 범위, 세로 막대는 시드 표준편차(n=3). NPU 근사 log(*) 는 보드 미실측으로 지연을 합성 사이클로 추정한 점. 큰 고리와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w:t>
      </w:r>
    </w:p>
    <w:tbl>
      <w:tblPr>
        <w:tblStyle w:val="TableGrid"/>
        <w:tblW w:type="auto" w:w="0"/>
        <w:jc w:val="center"/>
        <w:tblLook w:firstColumn="1" w:firstRow="1" w:lastColumn="0" w:lastRow="0" w:noHBand="0" w:noVBand="1" w:val="04A0"/>
      </w:tblPr>
      <w:tblGrid>
        <w:gridCol w:w="2154"/>
        <w:gridCol w:w="2154"/>
        <w:gridCol w:w="2154"/>
        <w:gridCol w:w="2154"/>
        <w:gridCol w:w="2154"/>
      </w:tblGrid>
      <w:tr>
        <w:tc>
          <w:tcPr>
            <w:tcW w:type="dxa" w:w="3402"/>
          </w:tcPr>
          <w:p>
            <w:pPr>
              <w:spacing w:after="0" w:before="0"/>
              <w:jc w:val="center"/>
            </w:pPr>
            <w:r/>
            <w:r>
              <w:rPr>
                <w:rFonts w:ascii="맑은 고딕" w:hAnsi="맑은 고딕" w:eastAsia="맑은 고딕" w:cs="맑은 고딕"/>
                <w:b/>
                <w:i w:val="0"/>
                <w:sz w:val="15"/>
              </w:rPr>
              <w:t>구성</w:t>
            </w:r>
          </w:p>
        </w:tc>
        <w:tc>
          <w:tcPr>
            <w:tcW w:type="dxa" w:w="1361"/>
          </w:tcPr>
          <w:p>
            <w:pPr>
              <w:spacing w:after="0" w:before="0"/>
              <w:jc w:val="center"/>
            </w:pPr>
            <w:r/>
            <w:r>
              <w:rPr>
                <w:rFonts w:ascii="맑은 고딕" w:hAnsi="맑은 고딕" w:eastAsia="맑은 고딕" w:cs="맑은 고딕"/>
                <w:b/>
                <w:i w:val="0"/>
                <w:sz w:val="15"/>
              </w:rPr>
              <w:t>판단 1회 지연 (ms)</w:t>
            </w:r>
          </w:p>
        </w:tc>
        <w:tc>
          <w:tcPr>
            <w:tcW w:type="dxa" w:w="2268"/>
          </w:tcPr>
          <w:p>
            <w:pPr>
              <w:spacing w:after="0" w:before="0"/>
              <w:jc w:val="center"/>
            </w:pPr>
            <w:r/>
            <w:r>
              <w:rPr>
                <w:rFonts w:ascii="맑은 고딕" w:hAnsi="맑은 고딕" w:eastAsia="맑은 고딕" w:cs="맑은 고딕"/>
                <w:b/>
                <w:i w:val="0"/>
                <w:sz w:val="15"/>
              </w:rPr>
              <w:t>에너지 μJ, 추정 (데이터시트 / Moosmann)</w:t>
            </w:r>
          </w:p>
        </w:tc>
        <w:tc>
          <w:tcPr>
            <w:tcW w:type="dxa" w:w="1871"/>
          </w:tcPr>
          <w:p>
            <w:pPr>
              <w:spacing w:after="0" w:before="0"/>
              <w:jc w:val="center"/>
            </w:pPr>
            <w:r/>
            <w:r>
              <w:rPr>
                <w:rFonts w:ascii="맑은 고딕" w:hAnsi="맑은 고딕" w:eastAsia="맑은 고딕" w:cs="맑은 고딕"/>
                <w:b/>
                <w:i w:val="0"/>
                <w:sz w:val="15"/>
              </w:rPr>
              <w:t>macro-F1 시험 데이터</w:t>
            </w:r>
          </w:p>
        </w:tc>
        <w:tc>
          <w:tcPr>
            <w:tcW w:type="dxa" w:w="1871"/>
          </w:tcPr>
          <w:p>
            <w:pPr>
              <w:spacing w:after="0" w:before="0"/>
              <w:jc w:val="center"/>
            </w:pPr>
            <w:r/>
            <w:r>
              <w:rPr>
                <w:rFonts w:ascii="맑은 고딕" w:hAnsi="맑은 고딕" w:eastAsia="맑은 고딕" w:cs="맑은 고딕"/>
                <w:b/>
                <w:i w:val="0"/>
                <w:sz w:val="15"/>
              </w:rPr>
              <w:t>F1 외부 데이터</w:t>
            </w:r>
          </w:p>
        </w:tc>
      </w:tr>
      <w:tr>
        <w:tc>
          <w:tcPr>
            <w:tcW w:type="dxa" w:w="3402"/>
          </w:tcPr>
          <w:p>
            <w:pPr>
              <w:spacing w:after="0" w:before="0"/>
              <w:jc w:val="left"/>
            </w:pPr>
            <w:r/>
            <w:r>
              <w:rPr>
                <w:rFonts w:ascii="맑은 고딕" w:hAnsi="맑은 고딕" w:eastAsia="맑은 고딕" w:cs="맑은 고딕"/>
                <w:b w:val="0"/>
                <w:i w:val="0"/>
                <w:sz w:val="15"/>
              </w:rPr>
              <w:t>원본 파형 (전처리 없음)</w:t>
            </w:r>
          </w:p>
        </w:tc>
        <w:tc>
          <w:tcPr>
            <w:tcW w:type="dxa" w:w="1361"/>
          </w:tcPr>
          <w:p>
            <w:pPr>
              <w:spacing w:after="0" w:before="0"/>
              <w:jc w:val="center"/>
            </w:pPr>
            <w:r/>
            <w:r>
              <w:rPr>
                <w:rFonts w:ascii="맑은 고딕" w:hAnsi="맑은 고딕" w:eastAsia="맑은 고딕" w:cs="맑은 고딕"/>
                <w:b w:val="0"/>
                <w:i w:val="0"/>
                <w:sz w:val="15"/>
              </w:rPr>
              <w:t>2.53</w:t>
            </w:r>
          </w:p>
        </w:tc>
        <w:tc>
          <w:tcPr>
            <w:tcW w:type="dxa" w:w="2268"/>
          </w:tcPr>
          <w:p>
            <w:pPr>
              <w:spacing w:after="0" w:before="0"/>
              <w:jc w:val="center"/>
            </w:pPr>
            <w:r/>
            <w:r>
              <w:rPr>
                <w:rFonts w:ascii="맑은 고딕" w:hAnsi="맑은 고딕" w:eastAsia="맑은 고딕" w:cs="맑은 고딕"/>
                <w:b w:val="0"/>
                <w:i w:val="0"/>
                <w:sz w:val="15"/>
              </w:rPr>
              <w:t>71 / 78</w:t>
            </w:r>
          </w:p>
        </w:tc>
        <w:tc>
          <w:tcPr>
            <w:tcW w:type="dxa" w:w="1871"/>
          </w:tcPr>
          <w:p>
            <w:pPr>
              <w:spacing w:after="0" w:before="0"/>
              <w:jc w:val="center"/>
            </w:pPr>
            <w:r/>
            <w:r>
              <w:rPr>
                <w:rFonts w:ascii="맑은 고딕" w:hAnsi="맑은 고딕" w:eastAsia="맑은 고딕" w:cs="맑은 고딕"/>
                <w:b w:val="0"/>
                <w:i w:val="0"/>
                <w:sz w:val="15"/>
              </w:rPr>
              <w:t>0.669 ± 0.025</w:t>
            </w:r>
          </w:p>
        </w:tc>
        <w:tc>
          <w:tcPr>
            <w:tcW w:type="dxa" w:w="1871"/>
          </w:tcPr>
          <w:p>
            <w:pPr>
              <w:spacing w:after="0" w:before="0"/>
              <w:jc w:val="center"/>
            </w:pPr>
            <w:r/>
            <w:r>
              <w:rPr>
                <w:rFonts w:ascii="맑은 고딕" w:hAnsi="맑은 고딕" w:eastAsia="맑은 고딕" w:cs="맑은 고딕"/>
                <w:b w:val="0"/>
                <w:i w:val="0"/>
                <w:sz w:val="15"/>
              </w:rPr>
              <w:t>0.443 ± 0.021</w:t>
            </w:r>
          </w:p>
        </w:tc>
      </w:tr>
      <w:tr>
        <w:tc>
          <w:tcPr>
            <w:tcW w:type="dxa" w:w="3402"/>
          </w:tcPr>
          <w:p>
            <w:pPr>
              <w:spacing w:after="0" w:before="0"/>
              <w:jc w:val="left"/>
            </w:pPr>
            <w:r/>
            <w:r>
              <w:rPr>
                <w:rFonts w:ascii="맑은 고딕" w:hAnsi="맑은 고딕" w:eastAsia="맑은 고딕" w:cs="맑은 고딕"/>
                <w:b w:val="0"/>
                <w:i w:val="0"/>
                <w:sz w:val="15"/>
              </w:rPr>
              <w:t>NPU 전처리 (Gabor 필터뱅크)</w:t>
            </w:r>
          </w:p>
        </w:tc>
        <w:tc>
          <w:tcPr>
            <w:tcW w:type="dxa" w:w="1361"/>
          </w:tcPr>
          <w:p>
            <w:pPr>
              <w:spacing w:after="0" w:before="0"/>
              <w:jc w:val="center"/>
            </w:pPr>
            <w:r/>
            <w:r>
              <w:rPr>
                <w:rFonts w:ascii="맑은 고딕" w:hAnsi="맑은 고딕" w:eastAsia="맑은 고딕" w:cs="맑은 고딕"/>
                <w:b w:val="0"/>
                <w:i w:val="0"/>
                <w:sz w:val="15"/>
              </w:rPr>
              <w:t>1.98</w:t>
            </w:r>
          </w:p>
        </w:tc>
        <w:tc>
          <w:tcPr>
            <w:tcW w:type="dxa" w:w="2268"/>
          </w:tcPr>
          <w:p>
            <w:pPr>
              <w:spacing w:after="0" w:before="0"/>
              <w:jc w:val="center"/>
            </w:pPr>
            <w:r/>
            <w:r>
              <w:rPr>
                <w:rFonts w:ascii="맑은 고딕" w:hAnsi="맑은 고딕" w:eastAsia="맑은 고딕" w:cs="맑은 고딕"/>
                <w:b w:val="0"/>
                <w:i w:val="0"/>
                <w:sz w:val="15"/>
              </w:rPr>
              <w:t>40 / 56</w:t>
            </w:r>
          </w:p>
        </w:tc>
        <w:tc>
          <w:tcPr>
            <w:tcW w:type="dxa" w:w="1871"/>
          </w:tcPr>
          <w:p>
            <w:pPr>
              <w:spacing w:after="0" w:before="0"/>
              <w:jc w:val="center"/>
            </w:pPr>
            <w:r/>
            <w:r>
              <w:rPr>
                <w:rFonts w:ascii="맑은 고딕" w:hAnsi="맑은 고딕" w:eastAsia="맑은 고딕" w:cs="맑은 고딕"/>
                <w:b w:val="0"/>
                <w:i w:val="0"/>
                <w:sz w:val="15"/>
              </w:rPr>
              <w:t>0.643 ± 0.025</w:t>
            </w:r>
          </w:p>
        </w:tc>
        <w:tc>
          <w:tcPr>
            <w:tcW w:type="dxa" w:w="1871"/>
          </w:tcPr>
          <w:p>
            <w:pPr>
              <w:spacing w:after="0" w:before="0"/>
              <w:jc w:val="center"/>
            </w:pPr>
            <w:r/>
            <w:r>
              <w:rPr>
                <w:rFonts w:ascii="맑은 고딕" w:hAnsi="맑은 고딕" w:eastAsia="맑은 고딕" w:cs="맑은 고딕"/>
                <w:b w:val="0"/>
                <w:i w:val="0"/>
                <w:sz w:val="15"/>
              </w:rPr>
              <w:t>0.460 ± 0.034</w:t>
            </w:r>
          </w:p>
        </w:tc>
      </w:tr>
      <w:tr>
        <w:tc>
          <w:tcPr>
            <w:tcW w:type="dxa" w:w="3402"/>
          </w:tcPr>
          <w:p>
            <w:pPr>
              <w:spacing w:after="0" w:before="0"/>
              <w:jc w:val="left"/>
            </w:pPr>
            <w:r/>
            <w:r>
              <w:rPr>
                <w:rFonts w:ascii="맑은 고딕" w:hAnsi="맑은 고딕" w:eastAsia="맑은 고딕" w:cs="맑은 고딕"/>
                <w:b w:val="0"/>
                <w:i w:val="0"/>
                <w:sz w:val="15"/>
              </w:rPr>
              <w:t>NPU 근사 log</w:t>
            </w:r>
          </w:p>
        </w:tc>
        <w:tc>
          <w:tcPr>
            <w:tcW w:type="dxa" w:w="1361"/>
          </w:tcPr>
          <w:p>
            <w:pPr>
              <w:spacing w:after="0" w:before="0"/>
              <w:jc w:val="center"/>
            </w:pPr>
            <w:r/>
            <w:r>
              <w:rPr>
                <w:rFonts w:ascii="맑은 고딕" w:hAnsi="맑은 고딕" w:eastAsia="맑은 고딕" w:cs="맑은 고딕"/>
                <w:b w:val="0"/>
                <w:i w:val="0"/>
                <w:sz w:val="15"/>
              </w:rPr>
              <w:t>6.59 (추정)</w:t>
            </w:r>
          </w:p>
        </w:tc>
        <w:tc>
          <w:tcPr>
            <w:tcW w:type="dxa" w:w="2268"/>
          </w:tcPr>
          <w:p>
            <w:pPr>
              <w:spacing w:after="0" w:before="0"/>
              <w:jc w:val="center"/>
            </w:pPr>
            <w:r/>
            <w:r>
              <w:rPr>
                <w:rFonts w:ascii="맑은 고딕" w:hAnsi="맑은 고딕" w:eastAsia="맑은 고딕" w:cs="맑은 고딕"/>
                <w:b w:val="0"/>
                <w:i w:val="0"/>
                <w:sz w:val="15"/>
              </w:rPr>
              <w:t>236 / 223</w:t>
            </w:r>
          </w:p>
        </w:tc>
        <w:tc>
          <w:tcPr>
            <w:tcW w:type="dxa" w:w="1871"/>
          </w:tcPr>
          <w:p>
            <w:pPr>
              <w:spacing w:after="0" w:before="0"/>
              <w:jc w:val="center"/>
            </w:pPr>
            <w:r/>
            <w:r>
              <w:rPr>
                <w:rFonts w:ascii="맑은 고딕" w:hAnsi="맑은 고딕" w:eastAsia="맑은 고딕" w:cs="맑은 고딕"/>
                <w:b w:val="0"/>
                <w:i w:val="0"/>
                <w:sz w:val="15"/>
              </w:rPr>
              <w:t>0.703 ± 0.007</w:t>
            </w:r>
          </w:p>
        </w:tc>
        <w:tc>
          <w:tcPr>
            <w:tcW w:type="dxa" w:w="1871"/>
          </w:tcPr>
          <w:p>
            <w:pPr>
              <w:spacing w:after="0" w:before="0"/>
              <w:jc w:val="center"/>
            </w:pPr>
            <w:r/>
            <w:r>
              <w:rPr>
                <w:rFonts w:ascii="맑은 고딕" w:hAnsi="맑은 고딕" w:eastAsia="맑은 고딕" w:cs="맑은 고딕"/>
                <w:b w:val="0"/>
                <w:i w:val="0"/>
                <w:sz w:val="15"/>
              </w:rPr>
              <w:t>0.500 ± 0.011</w:t>
            </w:r>
          </w:p>
        </w:tc>
      </w:tr>
      <w:tr>
        <w:tc>
          <w:tcPr>
            <w:tcW w:type="dxa" w:w="3402"/>
          </w:tcPr>
          <w:p>
            <w:pPr>
              <w:spacing w:after="0" w:before="0"/>
              <w:jc w:val="left"/>
            </w:pPr>
            <w:r/>
            <w:r>
              <w:rPr>
                <w:rFonts w:ascii="맑은 고딕" w:hAnsi="맑은 고딕" w:eastAsia="맑은 고딕" w:cs="맑은 고딕"/>
                <w:b w:val="0"/>
                <w:i w:val="0"/>
                <w:sz w:val="15"/>
              </w:rPr>
              <w:t>CPU log-mel, 간격 62.5 ms (멜 32)</w:t>
            </w:r>
          </w:p>
        </w:tc>
        <w:tc>
          <w:tcPr>
            <w:tcW w:type="dxa" w:w="1361"/>
          </w:tcPr>
          <w:p>
            <w:pPr>
              <w:spacing w:after="0" w:before="0"/>
              <w:jc w:val="center"/>
            </w:pPr>
            <w:r/>
            <w:r>
              <w:rPr>
                <w:rFonts w:ascii="맑은 고딕" w:hAnsi="맑은 고딕" w:eastAsia="맑은 고딕" w:cs="맑은 고딕"/>
                <w:b w:val="0"/>
                <w:i w:val="0"/>
                <w:sz w:val="15"/>
              </w:rPr>
              <w:t>2.93</w:t>
            </w:r>
          </w:p>
        </w:tc>
        <w:tc>
          <w:tcPr>
            <w:tcW w:type="dxa" w:w="2268"/>
          </w:tcPr>
          <w:p>
            <w:pPr>
              <w:spacing w:after="0" w:before="0"/>
              <w:jc w:val="center"/>
            </w:pPr>
            <w:r/>
            <w:r>
              <w:rPr>
                <w:rFonts w:ascii="맑은 고딕" w:hAnsi="맑은 고딕" w:eastAsia="맑은 고딕" w:cs="맑은 고딕"/>
                <w:b w:val="0"/>
                <w:i w:val="0"/>
                <w:sz w:val="15"/>
              </w:rPr>
              <w:t>43 / 78</w:t>
            </w:r>
          </w:p>
        </w:tc>
        <w:tc>
          <w:tcPr>
            <w:tcW w:type="dxa" w:w="1871"/>
          </w:tcPr>
          <w:p>
            <w:pPr>
              <w:spacing w:after="0" w:before="0"/>
              <w:jc w:val="center"/>
            </w:pPr>
            <w:r/>
            <w:r>
              <w:rPr>
                <w:rFonts w:ascii="맑은 고딕" w:hAnsi="맑은 고딕" w:eastAsia="맑은 고딕" w:cs="맑은 고딕"/>
                <w:b w:val="0"/>
                <w:i w:val="0"/>
                <w:sz w:val="15"/>
              </w:rPr>
              <w:t>0.754 ± 0.014</w:t>
            </w:r>
          </w:p>
        </w:tc>
        <w:tc>
          <w:tcPr>
            <w:tcW w:type="dxa" w:w="1871"/>
          </w:tcPr>
          <w:p>
            <w:pPr>
              <w:spacing w:after="0" w:before="0"/>
              <w:jc w:val="center"/>
            </w:pPr>
            <w:r/>
            <w:r>
              <w:rPr>
                <w:rFonts w:ascii="맑은 고딕" w:hAnsi="맑은 고딕" w:eastAsia="맑은 고딕" w:cs="맑은 고딕"/>
                <w:b w:val="0"/>
                <w:i w:val="0"/>
                <w:sz w:val="15"/>
              </w:rPr>
              <w:t>0.542 ± 0.014</w:t>
            </w:r>
          </w:p>
        </w:tc>
      </w:tr>
      <w:tr>
        <w:tc>
          <w:tcPr>
            <w:tcW w:type="dxa" w:w="3402"/>
          </w:tcPr>
          <w:p>
            <w:pPr>
              <w:spacing w:after="0" w:before="0"/>
              <w:jc w:val="left"/>
            </w:pPr>
            <w:r/>
            <w:r>
              <w:rPr>
                <w:rFonts w:ascii="맑은 고딕" w:hAnsi="맑은 고딕" w:eastAsia="맑은 고딕" w:cs="맑은 고딕"/>
                <w:b w:val="0"/>
                <w:i w:val="0"/>
                <w:sz w:val="15"/>
              </w:rPr>
              <w:t>CPU log-mel, 간격 50 ms</w:t>
            </w:r>
          </w:p>
        </w:tc>
        <w:tc>
          <w:tcPr>
            <w:tcW w:type="dxa" w:w="1361"/>
          </w:tcPr>
          <w:p>
            <w:pPr>
              <w:spacing w:after="0" w:before="0"/>
              <w:jc w:val="center"/>
            </w:pPr>
            <w:r/>
            <w:r>
              <w:rPr>
                <w:rFonts w:ascii="맑은 고딕" w:hAnsi="맑은 고딕" w:eastAsia="맑은 고딕" w:cs="맑은 고딕"/>
                <w:b w:val="0"/>
                <w:i w:val="0"/>
                <w:sz w:val="15"/>
              </w:rPr>
              <w:t>3.66</w:t>
            </w:r>
          </w:p>
        </w:tc>
        <w:tc>
          <w:tcPr>
            <w:tcW w:type="dxa" w:w="2268"/>
          </w:tcPr>
          <w:p>
            <w:pPr>
              <w:spacing w:after="0" w:before="0"/>
              <w:jc w:val="center"/>
            </w:pPr>
            <w:r/>
            <w:r>
              <w:rPr>
                <w:rFonts w:ascii="맑은 고딕" w:hAnsi="맑은 고딕" w:eastAsia="맑은 고딕" w:cs="맑은 고딕"/>
                <w:b w:val="0"/>
                <w:i w:val="0"/>
                <w:sz w:val="15"/>
              </w:rPr>
              <w:t>54 / 98</w:t>
            </w:r>
          </w:p>
        </w:tc>
        <w:tc>
          <w:tcPr>
            <w:tcW w:type="dxa" w:w="1871"/>
          </w:tcPr>
          <w:p>
            <w:pPr>
              <w:spacing w:after="0" w:before="0"/>
              <w:jc w:val="center"/>
            </w:pPr>
            <w:r/>
            <w:r>
              <w:rPr>
                <w:rFonts w:ascii="맑은 고딕" w:hAnsi="맑은 고딕" w:eastAsia="맑은 고딕" w:cs="맑은 고딕"/>
                <w:b w:val="0"/>
                <w:i w:val="0"/>
                <w:sz w:val="15"/>
              </w:rPr>
              <w:t>0.758 ± 0.019</w:t>
            </w:r>
          </w:p>
        </w:tc>
        <w:tc>
          <w:tcPr>
            <w:tcW w:type="dxa" w:w="1871"/>
          </w:tcPr>
          <w:p>
            <w:pPr>
              <w:spacing w:after="0" w:before="0"/>
              <w:jc w:val="center"/>
            </w:pPr>
            <w:r/>
            <w:r>
              <w:rPr>
                <w:rFonts w:ascii="맑은 고딕" w:hAnsi="맑은 고딕" w:eastAsia="맑은 고딕" w:cs="맑은 고딕"/>
                <w:b w:val="0"/>
                <w:i w:val="0"/>
                <w:sz w:val="15"/>
              </w:rPr>
              <w:t>0.566 ± 0.025</w:t>
            </w:r>
          </w:p>
        </w:tc>
      </w:tr>
      <w:tr>
        <w:tc>
          <w:tcPr>
            <w:tcW w:type="dxa" w:w="3402"/>
          </w:tcPr>
          <w:p>
            <w:pPr>
              <w:spacing w:after="0" w:before="0"/>
              <w:jc w:val="left"/>
            </w:pPr>
            <w:r/>
            <w:r>
              <w:rPr>
                <w:rFonts w:ascii="맑은 고딕" w:hAnsi="맑은 고딕" w:eastAsia="맑은 고딕" w:cs="맑은 고딕"/>
                <w:b w:val="0"/>
                <w:i w:val="0"/>
                <w:sz w:val="15"/>
              </w:rPr>
              <w:t>CPU log-mel, 간격 25 ms</w:t>
            </w:r>
          </w:p>
        </w:tc>
        <w:tc>
          <w:tcPr>
            <w:tcW w:type="dxa" w:w="1361"/>
          </w:tcPr>
          <w:p>
            <w:pPr>
              <w:spacing w:after="0" w:before="0"/>
              <w:jc w:val="center"/>
            </w:pPr>
            <w:r/>
            <w:r>
              <w:rPr>
                <w:rFonts w:ascii="맑은 고딕" w:hAnsi="맑은 고딕" w:eastAsia="맑은 고딕" w:cs="맑은 고딕"/>
                <w:b w:val="0"/>
                <w:i w:val="0"/>
                <w:sz w:val="15"/>
              </w:rPr>
              <w:t>9.42</w:t>
            </w:r>
          </w:p>
        </w:tc>
        <w:tc>
          <w:tcPr>
            <w:tcW w:type="dxa" w:w="2268"/>
          </w:tcPr>
          <w:p>
            <w:pPr>
              <w:spacing w:after="0" w:before="0"/>
              <w:jc w:val="center"/>
            </w:pPr>
            <w:r/>
            <w:r>
              <w:rPr>
                <w:rFonts w:ascii="맑은 고딕" w:hAnsi="맑은 고딕" w:eastAsia="맑은 고딕" w:cs="맑은 고딕"/>
                <w:b w:val="0"/>
                <w:i w:val="0"/>
                <w:sz w:val="15"/>
              </w:rPr>
              <w:t>167 / 261</w:t>
            </w:r>
          </w:p>
        </w:tc>
        <w:tc>
          <w:tcPr>
            <w:tcW w:type="dxa" w:w="1871"/>
          </w:tcPr>
          <w:p>
            <w:pPr>
              <w:spacing w:after="0" w:before="0"/>
              <w:jc w:val="center"/>
            </w:pPr>
            <w:r/>
            <w:r>
              <w:rPr>
                <w:rFonts w:ascii="맑은 고딕" w:hAnsi="맑은 고딕" w:eastAsia="맑은 고딕" w:cs="맑은 고딕"/>
                <w:b w:val="0"/>
                <w:i w:val="0"/>
                <w:sz w:val="15"/>
              </w:rPr>
              <w:t>0.820 ± 0.006</w:t>
            </w:r>
          </w:p>
        </w:tc>
        <w:tc>
          <w:tcPr>
            <w:tcW w:type="dxa" w:w="1871"/>
          </w:tcPr>
          <w:p>
            <w:pPr>
              <w:spacing w:after="0" w:before="0"/>
              <w:jc w:val="center"/>
            </w:pPr>
            <w:r/>
            <w:r>
              <w:rPr>
                <w:rFonts w:ascii="맑은 고딕" w:hAnsi="맑은 고딕" w:eastAsia="맑은 고딕" w:cs="맑은 고딕"/>
                <w:b w:val="0"/>
                <w:i w:val="0"/>
                <w:sz w:val="15"/>
              </w:rPr>
              <w:t>0.651 ± 0.010</w:t>
            </w:r>
          </w:p>
        </w:tc>
      </w:tr>
      <w:tr>
        <w:tc>
          <w:tcPr>
            <w:tcW w:type="dxa" w:w="3402"/>
          </w:tcPr>
          <w:p>
            <w:pPr>
              <w:spacing w:after="0" w:before="0"/>
              <w:jc w:val="left"/>
            </w:pPr>
            <w:r/>
            <w:r>
              <w:rPr>
                <w:rFonts w:ascii="맑은 고딕" w:hAnsi="맑은 고딕" w:eastAsia="맑은 고딕" w:cs="맑은 고딕"/>
                <w:b w:val="0"/>
                <w:i w:val="0"/>
                <w:sz w:val="15"/>
              </w:rPr>
              <w:t>CPU log-mel, 간격 16 ms</w:t>
            </w:r>
          </w:p>
        </w:tc>
        <w:tc>
          <w:tcPr>
            <w:tcW w:type="dxa" w:w="1361"/>
          </w:tcPr>
          <w:p>
            <w:pPr>
              <w:spacing w:after="0" w:before="0"/>
              <w:jc w:val="center"/>
            </w:pPr>
            <w:r/>
            <w:r>
              <w:rPr>
                <w:rFonts w:ascii="맑은 고딕" w:hAnsi="맑은 고딕" w:eastAsia="맑은 고딕" w:cs="맑은 고딕"/>
                <w:b w:val="0"/>
                <w:i w:val="0"/>
                <w:sz w:val="15"/>
              </w:rPr>
              <w:t>15.06</w:t>
            </w:r>
          </w:p>
        </w:tc>
        <w:tc>
          <w:tcPr>
            <w:tcW w:type="dxa" w:w="2268"/>
          </w:tcPr>
          <w:p>
            <w:pPr>
              <w:spacing w:after="0" w:before="0"/>
              <w:jc w:val="center"/>
            </w:pPr>
            <w:r/>
            <w:r>
              <w:rPr>
                <w:rFonts w:ascii="맑은 고딕" w:hAnsi="맑은 고딕" w:eastAsia="맑은 고딕" w:cs="맑은 고딕"/>
                <w:b w:val="0"/>
                <w:i w:val="0"/>
                <w:sz w:val="15"/>
              </w:rPr>
              <w:t>267 / 418</w:t>
            </w:r>
          </w:p>
        </w:tc>
        <w:tc>
          <w:tcPr>
            <w:tcW w:type="dxa" w:w="1871"/>
          </w:tcPr>
          <w:p>
            <w:pPr>
              <w:spacing w:after="0" w:before="0"/>
              <w:jc w:val="center"/>
            </w:pPr>
            <w:r/>
            <w:r>
              <w:rPr>
                <w:rFonts w:ascii="맑은 고딕" w:hAnsi="맑은 고딕" w:eastAsia="맑은 고딕" w:cs="맑은 고딕"/>
                <w:b w:val="0"/>
                <w:i w:val="0"/>
                <w:sz w:val="15"/>
              </w:rPr>
              <w:t>0.836 ± 0.002</w:t>
            </w:r>
          </w:p>
        </w:tc>
        <w:tc>
          <w:tcPr>
            <w:tcW w:type="dxa" w:w="1871"/>
          </w:tcPr>
          <w:p>
            <w:pPr>
              <w:spacing w:after="0" w:before="0"/>
              <w:jc w:val="center"/>
            </w:pPr>
            <w:r/>
            <w:r>
              <w:rPr>
                <w:rFonts w:ascii="맑은 고딕" w:hAnsi="맑은 고딕" w:eastAsia="맑은 고딕" w:cs="맑은 고딕"/>
                <w:b w:val="0"/>
                <w:i w:val="0"/>
                <w:sz w:val="15"/>
              </w:rPr>
              <w:t>0.665 ± 0.015</w:t>
            </w:r>
          </w:p>
        </w:tc>
      </w:tr>
      <w:tr>
        <w:tc>
          <w:tcPr>
            <w:tcW w:type="dxa" w:w="3402"/>
          </w:tcPr>
          <w:p>
            <w:pPr>
              <w:spacing w:after="0" w:before="0"/>
              <w:jc w:val="left"/>
            </w:pPr>
            <w:r/>
            <w:r>
              <w:rPr>
                <w:rFonts w:ascii="맑은 고딕" w:hAnsi="맑은 고딕" w:eastAsia="맑은 고딕" w:cs="맑은 고딕"/>
                <w:b w:val="0"/>
                <w:i w:val="0"/>
                <w:sz w:val="15"/>
              </w:rPr>
              <w:t>CPU 추론 (Cortex-M4F) (원파형 가중치)</w:t>
            </w:r>
          </w:p>
        </w:tc>
        <w:tc>
          <w:tcPr>
            <w:tcW w:type="dxa" w:w="1361"/>
          </w:tcPr>
          <w:p>
            <w:pPr>
              <w:spacing w:after="0" w:before="0"/>
              <w:jc w:val="center"/>
            </w:pPr>
            <w:r/>
            <w:r>
              <w:rPr>
                <w:rFonts w:ascii="맑은 고딕" w:hAnsi="맑은 고딕" w:eastAsia="맑은 고딕" w:cs="맑은 고딕"/>
                <w:b w:val="0"/>
                <w:i w:val="0"/>
                <w:sz w:val="15"/>
              </w:rPr>
              <w:t>225.77</w:t>
            </w:r>
          </w:p>
        </w:tc>
        <w:tc>
          <w:tcPr>
            <w:tcW w:type="dxa" w:w="2268"/>
          </w:tcPr>
          <w:p>
            <w:pPr>
              <w:spacing w:after="0" w:before="0"/>
              <w:jc w:val="center"/>
            </w:pPr>
            <w:r/>
            <w:r>
              <w:rPr>
                <w:rFonts w:ascii="맑은 고딕" w:hAnsi="맑은 고딕" w:eastAsia="맑은 고딕" w:cs="맑은 고딕"/>
                <w:b w:val="0"/>
                <w:i w:val="0"/>
                <w:sz w:val="15"/>
              </w:rPr>
              <w:t>2008 / 5599</w:t>
            </w:r>
          </w:p>
        </w:tc>
        <w:tc>
          <w:tcPr>
            <w:tcW w:type="dxa" w:w="1871"/>
          </w:tcPr>
          <w:p>
            <w:pPr>
              <w:spacing w:after="0" w:before="0"/>
              <w:jc w:val="center"/>
            </w:pPr>
            <w:r/>
            <w:r>
              <w:rPr>
                <w:rFonts w:ascii="맑은 고딕" w:hAnsi="맑은 고딕" w:eastAsia="맑은 고딕" w:cs="맑은 고딕"/>
                <w:b w:val="0"/>
                <w:i w:val="0"/>
                <w:sz w:val="15"/>
              </w:rPr>
              <w:t>= 원본 파형</w:t>
            </w:r>
          </w:p>
        </w:tc>
        <w:tc>
          <w:tcPr>
            <w:tcW w:type="dxa" w:w="1871"/>
          </w:tcPr>
          <w:p>
            <w:pPr>
              <w:spacing w:after="0" w:before="0"/>
              <w:jc w:val="center"/>
            </w:pPr>
            <w:r/>
            <w:r>
              <w:rPr>
                <w:rFonts w:ascii="맑은 고딕" w:hAnsi="맑은 고딕" w:eastAsia="맑은 고딕" w:cs="맑은 고딕"/>
                <w:b w:val="0"/>
                <w:i w:val="0"/>
                <w:sz w:val="15"/>
              </w:rPr>
              <w:t>= 원본 파형</w:t>
            </w:r>
          </w:p>
        </w:tc>
      </w:tr>
    </w:tbl>
    <w:p>
      <w:pPr>
        <w:spacing w:after="40" w:before="0" w:line="276" w:lineRule="auto"/>
      </w:pPr>
    </w:p>
    <w:p>
      <w:pPr>
        <w:sectPr>
          <w:pgSz w:w="11906" w:h="16838"/>
          <w:pgMar w:top="1701" w:right="567" w:bottom="1134" w:left="567" w:header="0" w:footer="0" w:gutter="0"/>
          <w:cols w:space="360" w:num="1"/>
          <w:docGrid w:linePitch="360"/>
        </w:sectPr>
      </w:pPr>
    </w:p>
    <w:p>
      <w:pPr>
        <w:spacing w:after="40" w:before="0" w:line="276" w:lineRule="auto"/>
      </w:pPr>
      <w:r>
        <w:rPr>
          <w:rFonts w:ascii="맑은 고딕" w:hAnsi="맑은 고딕" w:eastAsia="맑은 고딕" w:cs="맑은 고딕"/>
          <w:b/>
          <w:i w:val="0"/>
          <w:sz w:val="20"/>
        </w:rPr>
        <w:t>1. 서  론</w:t>
      </w:r>
    </w:p>
    <w:p>
      <w:pPr>
        <w:spacing w:after="40" w:before="0" w:line="276"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[1, 2]. 따라서 로그 멜 전처리는 CPU 가 맡거나, 아예 없애고 원파형을 가속기에 직접 넣어야 한다. 벤더의 음성 키워드 참조 설계는 후자를 택하며 음성에서는 정확도 손실이 거의 없다고 알려져 있다 [4].</w:t>
      </w:r>
    </w:p>
    <w:p>
      <w:pPr>
        <w:spacing w:after="40" w:before="0" w:line="276"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7개 구성으로 나누어 정확도와 판단 1회 지연을 보드에서 재고 에너지를 추정한 정확도–에너지 곡선. (2) 필터뱅크·로그 압축·분할 등 전처리를 NPU 연산으로 옮긴 변형이 원파형 구성을 유의하게 넘지 못한다는 부정 결과와, 선형 부분만 옮긴 구성이 정확도 이득 없이 에너지만 줄여 곡선의 저에너지 끝이 된다는 실측. (3) 거친 로그 멜(프레임 간격 62.5 ms, 멜 32)을 CPU 에 남기는 구성이 원파형 구성을 정확도와 에너지 양쪽에서 이긴다는 관찰과, 전처리가 NPU 가 처리할 데이터량을 줄이는 단계라는 해석.</w:t>
      </w:r>
    </w:p>
    <w:p>
      <w:pPr>
        <w:spacing w:after="40" w:before="0" w:line="276" w:lineRule="auto"/>
      </w:pPr>
      <w:r>
        <w:rPr>
          <w:rFonts w:ascii="맑은 고딕" w:hAnsi="맑은 고딕" w:eastAsia="맑은 고딕" w:cs="맑은 고딕"/>
          <w:b/>
          <w:i w:val="0"/>
          <w:sz w:val="20"/>
        </w:rPr>
        <w:t>2. 관련 연구</w:t>
      </w:r>
    </w:p>
    <w:p>
      <w:pPr>
        <w:spacing w:after="40" w:before="0" w:line="276" w:lineRule="auto"/>
        <w:ind w:firstLine="18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보고했다. 이들은 전처리를 고정한 채 모델을 다룬다. 원파형에서 직접 배우는 프론트엔드로는 SincNet [6] 과 LEAF [7] 가 있으나 로그·PCEN 같은 비선형 압축을 포함하므로 MAX78000 가속기에 그대로 올릴 수 없다. CPU 추론 대조군은 CMSIS-NN [8] 으로 구현했다. 데이터는 FSD50K [9]·UrbanSound8K [10]·ESC-50 [11] 과 AudioSet [12] 을 썼고, 대형 모델 기준선과 증류 교사로 PANNs [13] 를 썼다.</w:t>
      </w:r>
    </w:p>
    <w:p>
      <w:pPr>
        <w:spacing w:after="40" w:before="0" w:line="276" w:lineRule="auto"/>
      </w:pPr>
      <w:r>
        <w:rPr>
          <w:rFonts w:ascii="맑은 고딕" w:hAnsi="맑은 고딕" w:eastAsia="맑은 고딕" w:cs="맑은 고딕"/>
          <w:b/>
          <w:i w:val="0"/>
          <w:sz w:val="20"/>
        </w:rPr>
        <w:t>3. 시스템과 실험 설계</w:t>
      </w:r>
    </w:p>
    <w:p>
      <w:pPr>
        <w:spacing w:after="40" w:before="0" w:line="276"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 5클래스(사이렌·유리 파손·비명·개 짖음·배경)를 판단한다. 모델은 가중치 8 bit QAT, 가속기 가중치 메모리 442 KB 안에 들어간다.</w:t>
      </w:r>
    </w:p>
    <w:p>
      <w:pPr>
        <w:spacing w:after="40" w:before="0" w:line="276"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시험셋의 유리·비명 창은 저자가 전수 청취해 양성을 확정했다(채점 창 4,965). 외부 평가는 AudioSet 의 별도 영상에서 뽑은 673창(양성 271, 음성 402) 으로, 학습에 쓰지 않았다. 오경보율은 시험셋 배경에서 300회/h 가 되는 문턱값을 잡아 외부에도 같은 값을 썼고, 지표는 macro-F1 이다.</w:t>
      </w:r>
    </w:p>
    <w:p>
      <w:pPr>
        <w:spacing w:after="40" w:before="0" w:line="276" w:lineRule="auto"/>
        <w:ind w:firstLine="180"/>
        <w:jc w:val="both"/>
      </w:pPr>
      <w:r>
        <w:rPr>
          <w:rFonts w:ascii="맑은 고딕" w:hAnsi="맑은 고딕" w:eastAsia="맑은 고딕" w:cs="맑은 고딕"/>
          <w:b w:val="0"/>
          <w:i w:val="0"/>
          <w:sz w:val="18"/>
        </w:rPr>
        <w:t>구성. 원본 파형 (전처리 없음): 원파형을 128×128 로 접어 1D CNN 에 넣는 벤더 방식. NPU 근사 log: 로그 압축을 NPU 안의 구간선형 층으로 근사한 1D 구성. NPU 전처리 (Gabor 필터뱅크): 멜 대역폭에 맞춘 512탭 Gabor 필터뱅크(cos·sin 32쌍)를 가속기의 Conv1d 로 두고 프레임 안 에너지 적분(|cos|+|sin| 의 8위치 합)과 정수 로그만 CPU 가 맡은 뒤, 그 32×16 특징을 아래 62.5 ms 구성과 같은 2D CNN 에 넣는 구성 — 두 네트워크를 가속기에 동시 적재하고 판단마다 전환한다(판단 주기 256 ms). CPU log-mel 네 구성: 프레임 간격 62.5 ms(멜 32)·50 ms(멜 32)·25 ms(멜 64)·16 ms(멜 64) 의 증분 로그 멜을 CPU 가 계산하고 2D CNN 을 NPU 에 올린다.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76" w:lineRule="auto"/>
        <w:ind w:firstLine="180"/>
        <w:jc w:val="both"/>
      </w:pPr>
      <w:r>
        <w:rPr>
          <w:rFonts w:ascii="맑은 고딕" w:hAnsi="맑은 고딕" w:eastAsia="맑은 고딕" w:cs="맑은 고딕"/>
          <w:b w:val="0"/>
          <w:i w:val="0"/>
          <w:sz w:val="18"/>
        </w:rPr>
        <w:t>지연과 에너지. 지연은 보드에서 SysTick 으로 1,000회 재어 최악값을 보고한다(전원 투입 직후, 코어 100 MHz, CNN 50 MHz). 에너지는 외부 계측 장비 없이 E = t전처리·Pcpu + (t적재 + t출력)·Pload + t추론·Pnpu 로 추정했으며, 전력값은 데이터시트 [1] 와 동일 칩 실측 선행연구 [3–5] 두 출처를 나란히 써 범위로 보고한다. 측정값이 아님을 모든 수치에 밝힌다.</w:t>
      </w:r>
    </w:p>
    <w:p>
      <w:pPr>
        <w:spacing w:after="40" w:before="0" w:line="276" w:lineRule="auto"/>
      </w:pPr>
      <w:r>
        <w:rPr>
          <w:rFonts w:ascii="맑은 고딕" w:hAnsi="맑은 고딕" w:eastAsia="맑은 고딕" w:cs="맑은 고딕"/>
          <w:b/>
          <w:i w:val="0"/>
          <w:sz w:val="20"/>
        </w:rPr>
        <w:t>4. 결  과</w:t>
      </w:r>
    </w:p>
    <w:p>
      <w:pPr>
        <w:spacing w:after="40" w:before="0" w:line="276"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76" w:lineRule="auto"/>
        <w:ind w:firstLine="180"/>
        <w:jc w:val="both"/>
      </w:pPr>
      <w:r>
        <w:rPr>
          <w:rFonts w:ascii="맑은 고딕" w:hAnsi="맑은 고딕" w:eastAsia="맑은 고딕" w:cs="맑은 고딕"/>
          <w:b w:val="0"/>
          <w:i w:val="0"/>
          <w:sz w:val="18"/>
        </w:rPr>
        <w:t>NPU 로 옮긴 전처리는 되찾지 못한다. NPU 근사 log 는 원본 파형 구성 대비 +0.034 [-0.022, +0.090] 로 CI 가 0 을 포함하고, 로그 근사 층 때문에 NPU 사이클이 3.8배 늘어 추정 에너지는 3.3배다. 앞선 라운드(v1 데이터)에서 시험한 변형들도 같았다: 멜 필터뱅크 초기화 Conv1d + Abs (D-1) -0.026 [-0.057, +0.006]; D-1 탭 256 / 512 (k=2 / k=4) -0.050 / -0.032; NPU 구간선형 로그 ((a), v1) +0.003 [-0.028, +0.034]; NPU 필터뱅크 + CPU 정수 로그 분할 ((c)) -0.012 [-0.042, +0.018]; 원파형 2D 재배열 (wave2D) -0.019. 지원하지 않는 비선형을 합성곱으로 흉내 내는 순간 NPU 는 CPU 보다 비싸진다.</w:t>
      </w:r>
    </w:p>
    <w:p>
      <w:pPr>
        <w:spacing w:after="40" w:before="0" w:line="276" w:lineRule="auto"/>
        <w:ind w:firstLine="180"/>
        <w:jc w:val="both"/>
      </w:pPr>
      <w:r>
        <w:rPr>
          <w:rFonts w:ascii="맑은 고딕" w:hAnsi="맑은 고딕" w:eastAsia="맑은 고딕" w:cs="맑은 고딕"/>
          <w:b w:val="0"/>
          <w:i w:val="0"/>
          <w:sz w:val="18"/>
        </w:rPr>
        <w:t xml:space="preserve">선형 부분만 옮기면 에너지는 줄지만 정확도는 그대로다. NPU 전처리 (Gabor 필터뱅크) 는 사전에 정한 목표(원본 파형 구성 초과 또는 CPU log-mel 62.5 ms 구성과 동등)는 넘지 못했으나(원본 파형 구성 대비 -0.026 [-0.082, +0.030], CPU log-mel 62.5 ms 구성 대비 -0.111 [-0.162, -0.060]), 원본 파형 구성과 구분되지 않는 정확도를 더 낮은 에너지로 달성해 정확도–에너지 곡선의 저에너지 끝을 이룬다. 판단 1회 1.98 ms 대 2.53 ms, 추정 에너지는 데이터시트 기준 40 대 71 μJ, Moosmann 기준 56 대 78 μJ 이며, CPU log-mel 62.5 ms 구성보다 적다는 결론은 NPU 와 CPU 의 전력비가 12.7 미만일 때 성립한다(공개 전력값은 전부 그 안). 두 네트워크를 동시 적재한 보드에서 가속기 출력·CPU 특징·최종 로짓이 전부 호스트와 비트 일치했고, CPU 몫 0.84 ms 의 대부분은 로그가 아니라 가속기 메모리에서 int32 출력 2,048 개를 읽어 오는 시간이었다. </w:t>
      </w:r>
    </w:p>
    <w:p>
      <w:pPr>
        <w:spacing w:after="40" w:before="0" w:line="276" w:lineRule="auto"/>
        <w:ind w:firstLine="180"/>
        <w:jc w:val="both"/>
      </w:pPr>
      <w:r>
        <w:rPr>
          <w:rFonts w:ascii="맑은 고딕" w:hAnsi="맑은 고딕" w:eastAsia="맑은 고딕" w:cs="맑은 고딕"/>
          <w:b w:val="0"/>
          <w:i w:val="0"/>
          <w:sz w:val="18"/>
        </w:rPr>
        <w:t>대역·프레임 수를 늘린 NPU 전처리 변형 3종(보드 미실측, 그림 1·표 2 제외)은 시험 데이터 macro-F1 이 0.655~0.690 으로 CPU log-mel 62.5 ms 구성(0.754)보다 낮고, NPU 전처리 (Gabor 필터뱅크) 의 보드 실측 구간 비용으로 계산한 에너지 하한도 데이터시트·선행연구 전력 기준으로는 이보다 커서(데이터시트 49.8 대 43.3 μJ, 선행연구 98.7 대 97.7 μJ) 보드 실측 여부와 무관하게 CPU 전처리 곡선에 지배된다. Moosmann 전력 기준으로는 하한이 더 작아(Moosmann 76.6 대 78.5 μJ) 하한만으로는 가르지 못한다.</w:t>
      </w:r>
    </w:p>
    <w:p>
      <w:pPr>
        <w:spacing w:after="40" w:before="0" w:line="276"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로그 멜이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 그림 1 의 파레토 앞면은 NPU 전처리 (Gabor 필터뱅크) → CPU log-mel, 간격 62.5 ms (멜 32) → CPU log-mel, 간격 50 ms → CPU log-mel, 간격 25 ms → CPU log-mel, 간격 16 ms 이고, 원본 파형 구성과 NPU 근사 log 는 모두 다른 점에 지배된다.</w:t>
      </w:r>
    </w:p>
    <w:p>
      <w:pPr>
        <w:spacing w:after="40" w:before="0" w:line="276"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20"/>
        <w:jc w:val="center"/>
      </w:pPr>
      <w:r>
        <w:drawing>
          <wp:inline xmlns:a="http://schemas.openxmlformats.org/drawingml/2006/main" xmlns:pic="http://schemas.openxmlformats.org/drawingml/2006/picture">
            <wp:extent cx="3168000" cy="1363183"/>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3168000" cy="1363183"/>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오른쪽은 같은 가중치의 CPU 추론(Cortex-M4F, CMSIS-NN)과 판단 주기 250 ms.</w:t>
      </w:r>
    </w:p>
    <w:p>
      <w:pPr>
        <w:spacing w:after="40" w:before="0" w:line="276" w:lineRule="auto"/>
      </w:pPr>
      <w:r>
        <w:rPr>
          <w:rFonts w:ascii="맑은 고딕" w:hAnsi="맑은 고딕" w:eastAsia="맑은 고딕" w:cs="맑은 고딕"/>
          <w:b/>
          <w:i w:val="0"/>
          <w:sz w:val="20"/>
        </w:rPr>
        <w:t>5. 한계와 결론</w:t>
      </w:r>
    </w:p>
    <w:p>
      <w:pPr>
        <w:spacing w:after="40" w:before="0" w:line="276"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시험셋 배경의 절반이 하드 네거티브라 오경보율은 실배치보다 부풀려져 있다. NPU 전처리 (Gabor 필터뱅크) 의 CPU 구간은 가속기 전원이 켜진 채 돌므로 적재 전력으로 보수적으로 계산했고, 가속기 메모리 읽기를 DMA 로 바꾸면 더 줄 수 있다. 음량 정규화·필터 해상도·용량 확대 등 원파형 쪽 변형을 더 시도할 여지는 남아 있다.</w:t>
      </w:r>
    </w:p>
    <w:p>
      <w:pPr>
        <w:spacing w:after="40" w:before="0" w:line="276"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에너지를 조금 줄이는 대신 정확도를 잃어 곡선의 저에너지 끝에 머물렀으며, 작은 CPU 전처리로 데이터량을 줄인 뒤 작은 모델을 가속기에 올리는 구성이 정확도–에너지 전선 위에 있었다. 가속기 설계 지침은 연산 위치가 아니라 가속기에 들어가는 데이터율을 기준으로 세워야 한다.</w:t>
      </w:r>
    </w:p>
    <w:p>
      <w:pPr>
        <w:spacing w:after="40" w:before="0" w:line="276" w:lineRule="auto"/>
      </w:pPr>
      <w:r>
        <w:rPr>
          <w:rFonts w:ascii="맑은 고딕" w:hAnsi="맑은 고딕" w:eastAsia="맑은 고딕" w:cs="맑은 고딕"/>
          <w:b/>
          <w:i w:val="0"/>
          <w:sz w:val="18"/>
        </w:rPr>
        <w:t>참고문헌</w:t>
      </w:r>
    </w:p>
    <w:p>
      <w:pPr>
        <w:spacing w:after="20" w:before="0" w:line="252" w:lineRule="auto"/>
        <w:jc w:val="both"/>
      </w:pPr>
      <w:r>
        <w:rPr>
          <w:rFonts w:ascii="맑은 고딕" w:hAnsi="맑은 고딕" w:eastAsia="맑은 고딕" w:cs="맑은 고딕"/>
          <w:b w:val="0"/>
          <w:i w:val="0"/>
          <w:sz w:val="15"/>
        </w:rPr>
        <w:t>[1] Maxim Integrated, "MAX78000: Artificial Intelligence Microcontroller with Ultra-Low-Power Convolutional Neural Network Accelerator," Data Sheet 19-100868, Rev. 1, May 2021.</w:t>
      </w:r>
    </w:p>
    <w:p>
      <w:pPr>
        <w:spacing w:after="20" w:before="0" w:line="252" w:lineRule="auto"/>
        <w:jc w:val="both"/>
      </w:pPr>
      <w:r>
        <w:rPr>
          <w:rFonts w:ascii="맑은 고딕" w:hAnsi="맑은 고딕" w:eastAsia="맑은 고딕" w:cs="맑은 고딕"/>
          <w:b w:val="0"/>
          <w:i w:val="0"/>
          <w:sz w:val="15"/>
        </w:rPr>
        <w:t>[2] Analog Devices, "MAX78000 User Guide," UG7456, Rev. 1, Mar. 2024.</w:t>
      </w:r>
    </w:p>
    <w:p>
      <w:pPr>
        <w:spacing w:after="20" w:before="0" w:line="252" w:lineRule="auto"/>
        <w:jc w:val="both"/>
      </w:pPr>
      <w:r>
        <w:rPr>
          <w:rFonts w:ascii="맑은 고딕" w:hAnsi="맑은 고딕" w:eastAsia="맑은 고딕" w:cs="맑은 고딕"/>
          <w:b w:val="0"/>
          <w:i w:val="0"/>
          <w:sz w:val="15"/>
        </w:rPr>
        <w:t>[3] A. Moss, H. Lee, L. Xun, C. Min, F. Kawsar, A. Montanari, "Ultra-low power DNN accelerators for IoT: resource characterization of the MAX78000," Proc. SenSys Workshop AIChallengeIoT, 2022.</w:t>
      </w:r>
    </w:p>
    <w:p>
      <w:pPr>
        <w:spacing w:after="20" w:before="0" w:line="252" w:lineRule="auto"/>
        <w:jc w:val="both"/>
      </w:pPr>
      <w:r>
        <w:rPr>
          <w:rFonts w:ascii="맑은 고딕" w:hAnsi="맑은 고딕" w:eastAsia="맑은 고딕" w:cs="맑은 고딕"/>
          <w:b w:val="0"/>
          <w:i w:val="0"/>
          <w:sz w:val="15"/>
        </w:rPr>
        <w:t>[4] M. G. Ulkar, O. E. Okman, "Ultra-low power keyword spotting at the edge," arXiv:2111.04988, 2021.</w:t>
      </w:r>
    </w:p>
    <w:p>
      <w:pPr>
        <w:spacing w:after="20" w:before="0" w:line="252" w:lineRule="auto"/>
        <w:jc w:val="both"/>
      </w:pPr>
      <w:r>
        <w:rPr>
          <w:rFonts w:ascii="맑은 고딕" w:hAnsi="맑은 고딕" w:eastAsia="맑은 고딕" w:cs="맑은 고딕"/>
          <w:b w:val="0"/>
          <w:i w:val="0"/>
          <w:sz w:val="15"/>
        </w:rPr>
        <w:t>[5] J. Moosmann, M. Giordano, C. Vogt, M. Magno, "TinyissimoYOLO: a quantized, low-memory and ultralow-power object detection network for microcontrollers," Proc. IEEE AICAS, 2023.</w:t>
      </w:r>
    </w:p>
    <w:p>
      <w:pPr>
        <w:spacing w:after="20" w:before="0" w:line="252" w:lineRule="auto"/>
        <w:jc w:val="both"/>
      </w:pPr>
      <w:r>
        <w:rPr>
          <w:rFonts w:ascii="맑은 고딕" w:hAnsi="맑은 고딕" w:eastAsia="맑은 고딕" w:cs="맑은 고딕"/>
          <w:b w:val="0"/>
          <w:i w:val="0"/>
          <w:sz w:val="15"/>
        </w:rPr>
        <w:t>[6] M. Ravanelli, Y. Bengio, "Speaker recognition from raw waveform with SincNet," Proc. IEEE SLT, pp. 1021–1028, 2018.</w:t>
      </w:r>
    </w:p>
    <w:p>
      <w:pPr>
        <w:spacing w:after="20" w:before="0" w:line="252" w:lineRule="auto"/>
        <w:jc w:val="both"/>
      </w:pPr>
      <w:r>
        <w:rPr>
          <w:rFonts w:ascii="맑은 고딕" w:hAnsi="맑은 고딕" w:eastAsia="맑은 고딕" w:cs="맑은 고딕"/>
          <w:b w:val="0"/>
          <w:i w:val="0"/>
          <w:sz w:val="15"/>
        </w:rPr>
        <w:t>[7] N. Zeghidour, O. Teboul, F. de Chaumont Quitry, M. Tagliasacchi, "LEAF: a learnable frontend for audio classification," Proc. ICLR, 2021.</w:t>
      </w:r>
    </w:p>
    <w:p>
      <w:pPr>
        <w:spacing w:after="20" w:before="0" w:line="252" w:lineRule="auto"/>
        <w:jc w:val="both"/>
      </w:pPr>
      <w:r>
        <w:rPr>
          <w:rFonts w:ascii="맑은 고딕" w:hAnsi="맑은 고딕" w:eastAsia="맑은 고딕" w:cs="맑은 고딕"/>
          <w:b w:val="0"/>
          <w:i w:val="0"/>
          <w:sz w:val="15"/>
        </w:rPr>
        <w:t>[8] L. Lai, N. Suda, V. Chandra, "CMSIS-NN: efficient neural network kernels for Arm Cortex-M CPUs," arXiv:1801.06601, 2018.</w:t>
      </w:r>
    </w:p>
    <w:p>
      <w:pPr>
        <w:spacing w:after="20" w:before="0" w:line="252" w:lineRule="auto"/>
        <w:jc w:val="both"/>
      </w:pPr>
      <w:r>
        <w:rPr>
          <w:rFonts w:ascii="맑은 고딕" w:hAnsi="맑은 고딕" w:eastAsia="맑은 고딕" w:cs="맑은 고딕"/>
          <w:b w:val="0"/>
          <w:i w:val="0"/>
          <w:sz w:val="15"/>
        </w:rPr>
        <w:t>[9] E. Fonseca, X. Favory, J. Pons, F. Font, X. Serra, "FSD50K: an open dataset of human-labeled sound events," IEEE/ACM TASLP, vol. 30, pp. 829–852, 2022.</w:t>
      </w:r>
    </w:p>
    <w:p>
      <w:pPr>
        <w:spacing w:after="20" w:before="0" w:line="252" w:lineRule="auto"/>
        <w:jc w:val="both"/>
      </w:pPr>
      <w:r>
        <w:rPr>
          <w:rFonts w:ascii="맑은 고딕" w:hAnsi="맑은 고딕" w:eastAsia="맑은 고딕" w:cs="맑은 고딕"/>
          <w:b w:val="0"/>
          <w:i w:val="0"/>
          <w:sz w:val="15"/>
        </w:rPr>
        <w:t>[10] J. Salamon, C. Jacoby, J. P. Bello, "A dataset and taxonomy for urban sound research," Proc. ACM Multimedia, pp. 1041–1044, 2014.</w:t>
      </w:r>
    </w:p>
    <w:p>
      <w:pPr>
        <w:spacing w:after="20" w:before="0" w:line="252" w:lineRule="auto"/>
        <w:jc w:val="both"/>
      </w:pPr>
      <w:r>
        <w:rPr>
          <w:rFonts w:ascii="맑은 고딕" w:hAnsi="맑은 고딕" w:eastAsia="맑은 고딕" w:cs="맑은 고딕"/>
          <w:b w:val="0"/>
          <w:i w:val="0"/>
          <w:sz w:val="15"/>
        </w:rPr>
        <w:t>[11] K. J. Piczak, "ESC: dataset for environmental sound classification," Proc. ACM Multimedia, pp. 1015–1018, 2015.</w:t>
      </w:r>
    </w:p>
    <w:p>
      <w:pPr>
        <w:spacing w:after="20" w:before="0" w:line="252" w:lineRule="auto"/>
        <w:jc w:val="both"/>
      </w:pPr>
      <w:r>
        <w:rPr>
          <w:rFonts w:ascii="맑은 고딕" w:hAnsi="맑은 고딕" w:eastAsia="맑은 고딕" w:cs="맑은 고딕"/>
          <w:b w:val="0"/>
          <w:i w:val="0"/>
          <w:sz w:val="15"/>
        </w:rPr>
        <w:t>[12] J. F. Gemmeke et al., "Audio Set: an ontology and human-labeled dataset for audio events," Proc. ICASSP, pp. 776–780, 2017.</w:t>
      </w:r>
    </w:p>
    <w:p>
      <w:pPr>
        <w:spacing w:after="20" w:before="0" w:line="252" w:lineRule="auto"/>
        <w:jc w:val="both"/>
      </w:pPr>
      <w:r>
        <w:rPr>
          <w:rFonts w:ascii="맑은 고딕" w:hAnsi="맑은 고딕" w:eastAsia="맑은 고딕" w:cs="맑은 고딕"/>
          <w:b w:val="0"/>
          <w:i w:val="0"/>
          <w:sz w:val="15"/>
        </w:rPr>
        <w:t>[13]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