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52"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벤더 참조 설계처럼 원본 파형을 NPU 에 직접 넣어 전처리를 없앤 구성은 가장 정확한 CPU log-mel 구성(간격 16 ms)보다 시험 데이터 macro-F1 이 0.166 낮았고, 로그 압축을 NPU 연산으로 근사한 변형은 이 격차를 되찾지 못했으며, 선형 부분(필터뱅크와 에너지 적분)만 NPU 로 옮긴 구성은 원본 파형 구성보다 에너지가 적지만 정확도는 원본 파형 구성과 유의한 차이가 없었다. 반면 프레임 간격을 넓힌 거친 log-mel을 CPU 에 남기고 작은 2D CNN 을 NPU 에 올린 구성은 원본 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220000" cy="2371676"/>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220000" cy="2371676"/>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세 전력 출처의 범위, 세로 막대는 시드 표준편차(n=3). NPU 근사 log(*) 는 보드 미실측으로 지연을 합성 사이클로 추정한 점. 주황 점선은 NPU 전처리 계열(NPU 전처리 (Gabor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1.95 ms. NPU 전처리 계열의 정수 로그는 32비트 나눗셈 구현(이전 64비트 구현과 출력 비트 일치)이며, 지연은 교체분을 보드에서 잰 차이로 반영했다.</w:t>
      </w:r>
    </w:p>
    <w:tbl>
      <w:tblPr>
        <w:tblStyle w:val="TableGrid"/>
        <w:tblW w:type="auto" w:w="0"/>
        <w:jc w:val="center"/>
        <w:tblLayout w:type="fixed"/>
        <w:tblLook w:firstColumn="1" w:firstRow="1" w:lastColumn="0" w:lastRow="0" w:noHBand="0" w:noVBand="1" w:val="04A0"/>
      </w:tblPr>
      <w:tblGrid>
        <w:gridCol w:w="3855"/>
        <w:gridCol w:w="1247"/>
        <w:gridCol w:w="2154"/>
        <w:gridCol w:w="1757"/>
        <w:gridCol w:w="1757"/>
      </w:tblGrid>
      <w:tr>
        <w:tc>
          <w:tcPr>
            <w:tcW w:type="dxa" w:w="3855"/>
          </w:tcPr>
          <w:p>
            <w:pPr>
              <w:spacing w:after="0" w:before="0"/>
              <w:jc w:val="center"/>
            </w:pPr>
            <w:r/>
            <w:r>
              <w:rPr>
                <w:rFonts w:ascii="맑은 고딕" w:hAnsi="맑은 고딕" w:eastAsia="맑은 고딕" w:cs="맑은 고딕"/>
                <w:b/>
                <w:i w:val="0"/>
                <w:sz w:val="15"/>
              </w:rPr>
              <w:t>구성</w:t>
            </w:r>
          </w:p>
        </w:tc>
        <w:tc>
          <w:tcPr>
            <w:tcW w:type="dxa" w:w="1247"/>
          </w:tcPr>
          <w:p>
            <w:pPr>
              <w:spacing w:after="0" w:before="0"/>
              <w:jc w:val="center"/>
            </w:pPr>
            <w:r/>
            <w:r>
              <w:rPr>
                <w:rFonts w:ascii="맑은 고딕" w:hAnsi="맑은 고딕" w:eastAsia="맑은 고딕" w:cs="맑은 고딕"/>
                <w:b/>
                <w:i w:val="0"/>
                <w:sz w:val="15"/>
              </w:rPr>
              <w:t>판단 1회 지연 (ms)</w:t>
            </w:r>
          </w:p>
        </w:tc>
        <w:tc>
          <w:tcPr>
            <w:tcW w:type="dxa" w:w="2154"/>
          </w:tcPr>
          <w:p>
            <w:pPr>
              <w:spacing w:after="0" w:before="0"/>
              <w:jc w:val="center"/>
            </w:pPr>
            <w:r/>
            <w:r>
              <w:rPr>
                <w:rFonts w:ascii="맑은 고딕" w:hAnsi="맑은 고딕" w:eastAsia="맑은 고딕" w:cs="맑은 고딕"/>
                <w:b/>
                <w:i w:val="0"/>
                <w:sz w:val="15"/>
              </w:rPr>
              <w:t>에너지 μJ, 추정 (데이터시트 / 선행연구 / Moosmann)</w:t>
            </w:r>
          </w:p>
        </w:tc>
        <w:tc>
          <w:tcPr>
            <w:tcW w:type="dxa" w:w="1757"/>
          </w:tcPr>
          <w:p>
            <w:pPr>
              <w:spacing w:after="0" w:before="0"/>
              <w:jc w:val="center"/>
            </w:pPr>
            <w:r/>
            <w:r>
              <w:rPr>
                <w:rFonts w:ascii="맑은 고딕" w:hAnsi="맑은 고딕" w:eastAsia="맑은 고딕" w:cs="맑은 고딕"/>
                <w:b/>
                <w:i w:val="0"/>
                <w:sz w:val="15"/>
              </w:rPr>
              <w:t>macro-F1 시험 데이터</w:t>
            </w:r>
          </w:p>
        </w:tc>
        <w:tc>
          <w:tcPr>
            <w:tcW w:type="dxa" w:w="1757"/>
          </w:tcPr>
          <w:p>
            <w:pPr>
              <w:spacing w:after="0" w:before="0"/>
              <w:jc w:val="center"/>
            </w:pPr>
            <w:r/>
            <w:r>
              <w:rPr>
                <w:rFonts w:ascii="맑은 고딕" w:hAnsi="맑은 고딕" w:eastAsia="맑은 고딕" w:cs="맑은 고딕"/>
                <w:b/>
                <w:i w:val="0"/>
                <w:sz w:val="15"/>
              </w:rPr>
              <w:t>F1 외부 데이터</w:t>
            </w:r>
          </w:p>
        </w:tc>
      </w:tr>
      <w:tr>
        <w:tc>
          <w:tcPr>
            <w:tcW w:type="dxa" w:w="3855"/>
          </w:tcPr>
          <w:p>
            <w:pPr>
              <w:spacing w:after="0" w:before="0"/>
              <w:jc w:val="left"/>
            </w:pPr>
            <w:r/>
            <w:r>
              <w:rPr>
                <w:rFonts w:ascii="맑은 고딕" w:hAnsi="맑은 고딕" w:eastAsia="맑은 고딕" w:cs="맑은 고딕"/>
                <w:b w:val="0"/>
                <w:i w:val="0"/>
                <w:sz w:val="15"/>
              </w:rPr>
              <w:t>원본 파형 (전처리 없음)</w:t>
            </w:r>
          </w:p>
        </w:tc>
        <w:tc>
          <w:tcPr>
            <w:tcW w:type="dxa" w:w="1247"/>
          </w:tcPr>
          <w:p>
            <w:pPr>
              <w:spacing w:after="0" w:before="0"/>
              <w:jc w:val="center"/>
            </w:pPr>
            <w:r/>
            <w:r>
              <w:rPr>
                <w:rFonts w:ascii="맑은 고딕" w:hAnsi="맑은 고딕" w:eastAsia="맑은 고딕" w:cs="맑은 고딕"/>
                <w:b w:val="0"/>
                <w:i w:val="0"/>
                <w:sz w:val="15"/>
              </w:rPr>
              <w:t>2.53</w:t>
            </w:r>
          </w:p>
        </w:tc>
        <w:tc>
          <w:tcPr>
            <w:tcW w:type="dxa" w:w="2154"/>
          </w:tcPr>
          <w:p>
            <w:pPr>
              <w:spacing w:after="0" w:before="0"/>
              <w:jc w:val="center"/>
            </w:pPr>
            <w:r/>
            <w:r>
              <w:rPr>
                <w:rFonts w:ascii="맑은 고딕" w:hAnsi="맑은 고딕" w:eastAsia="맑은 고딕" w:cs="맑은 고딕"/>
                <w:b w:val="0"/>
                <w:i w:val="0"/>
                <w:sz w:val="15"/>
              </w:rPr>
              <w:t>71 / 130 / 78</w:t>
            </w:r>
          </w:p>
        </w:tc>
        <w:tc>
          <w:tcPr>
            <w:tcW w:type="dxa" w:w="1757"/>
          </w:tcPr>
          <w:p>
            <w:pPr>
              <w:spacing w:after="0" w:before="0"/>
              <w:jc w:val="center"/>
            </w:pPr>
            <w:r/>
            <w:r>
              <w:rPr>
                <w:rFonts w:ascii="맑은 고딕" w:hAnsi="맑은 고딕" w:eastAsia="맑은 고딕" w:cs="맑은 고딕"/>
                <w:b w:val="0"/>
                <w:i w:val="0"/>
                <w:sz w:val="15"/>
              </w:rPr>
              <w:t>0.669 ± 0.025</w:t>
            </w:r>
          </w:p>
        </w:tc>
        <w:tc>
          <w:tcPr>
            <w:tcW w:type="dxa" w:w="1757"/>
          </w:tcPr>
          <w:p>
            <w:pPr>
              <w:spacing w:after="0" w:before="0"/>
              <w:jc w:val="center"/>
            </w:pPr>
            <w:r/>
            <w:r>
              <w:rPr>
                <w:rFonts w:ascii="맑은 고딕" w:hAnsi="맑은 고딕" w:eastAsia="맑은 고딕" w:cs="맑은 고딕"/>
                <w:b w:val="0"/>
                <w:i w:val="0"/>
                <w:sz w:val="15"/>
              </w:rPr>
              <w:t>0.443 ± 0.021</w:t>
            </w:r>
          </w:p>
        </w:tc>
      </w:tr>
      <w:tr>
        <w:tc>
          <w:tcPr>
            <w:tcW w:type="dxa" w:w="3855"/>
          </w:tcPr>
          <w:p>
            <w:pPr>
              <w:spacing w:after="0" w:before="0"/>
              <w:jc w:val="left"/>
            </w:pPr>
            <w:r/>
            <w:r>
              <w:rPr>
                <w:rFonts w:ascii="맑은 고딕" w:hAnsi="맑은 고딕" w:eastAsia="맑은 고딕" w:cs="맑은 고딕"/>
                <w:b w:val="0"/>
                <w:i w:val="0"/>
                <w:sz w:val="15"/>
              </w:rPr>
              <w:t>NPU 전처리 (Gabor 필터뱅크)</w:t>
            </w:r>
          </w:p>
        </w:tc>
        <w:tc>
          <w:tcPr>
            <w:tcW w:type="dxa" w:w="1247"/>
          </w:tcPr>
          <w:p>
            <w:pPr>
              <w:spacing w:after="0" w:before="0"/>
              <w:jc w:val="center"/>
            </w:pPr>
            <w:r/>
            <w:r>
              <w:rPr>
                <w:rFonts w:ascii="맑은 고딕" w:hAnsi="맑은 고딕" w:eastAsia="맑은 고딕" w:cs="맑은 고딕"/>
                <w:b w:val="0"/>
                <w:i w:val="0"/>
                <w:sz w:val="15"/>
              </w:rPr>
              <w:t>1.85</w:t>
            </w:r>
          </w:p>
        </w:tc>
        <w:tc>
          <w:tcPr>
            <w:tcW w:type="dxa" w:w="2154"/>
          </w:tcPr>
          <w:p>
            <w:pPr>
              <w:spacing w:after="0" w:before="0"/>
              <w:jc w:val="center"/>
            </w:pPr>
            <w:r/>
            <w:r>
              <w:rPr>
                <w:rFonts w:ascii="맑은 고딕" w:hAnsi="맑은 고딕" w:eastAsia="맑은 고딕" w:cs="맑은 고딕"/>
                <w:b w:val="0"/>
                <w:i w:val="0"/>
                <w:sz w:val="15"/>
              </w:rPr>
              <w:t>39 / 74 / 52</w:t>
            </w:r>
          </w:p>
        </w:tc>
        <w:tc>
          <w:tcPr>
            <w:tcW w:type="dxa" w:w="1757"/>
          </w:tcPr>
          <w:p>
            <w:pPr>
              <w:spacing w:after="0" w:before="0"/>
              <w:jc w:val="center"/>
            </w:pPr>
            <w:r/>
            <w:r>
              <w:rPr>
                <w:rFonts w:ascii="맑은 고딕" w:hAnsi="맑은 고딕" w:eastAsia="맑은 고딕" w:cs="맑은 고딕"/>
                <w:b w:val="0"/>
                <w:i w:val="0"/>
                <w:sz w:val="15"/>
              </w:rPr>
              <w:t>0.643 ± 0.025</w:t>
            </w:r>
          </w:p>
        </w:tc>
        <w:tc>
          <w:tcPr>
            <w:tcW w:type="dxa" w:w="1757"/>
          </w:tcPr>
          <w:p>
            <w:pPr>
              <w:spacing w:after="0" w:before="0"/>
              <w:jc w:val="center"/>
            </w:pPr>
            <w:r/>
            <w:r>
              <w:rPr>
                <w:rFonts w:ascii="맑은 고딕" w:hAnsi="맑은 고딕" w:eastAsia="맑은 고딕" w:cs="맑은 고딕"/>
                <w:b w:val="0"/>
                <w:i w:val="0"/>
                <w:sz w:val="15"/>
              </w:rPr>
              <w:t>0.460 ± 0.034</w:t>
            </w:r>
          </w:p>
        </w:tc>
      </w:tr>
      <w:tr>
        <w:tc>
          <w:tcPr>
            <w:tcW w:type="dxa" w:w="3855"/>
          </w:tcPr>
          <w:p>
            <w:pPr>
              <w:spacing w:after="0" w:before="0"/>
              <w:jc w:val="left"/>
            </w:pPr>
            <w:r/>
            <w:r>
              <w:rPr>
                <w:rFonts w:ascii="맑은 고딕" w:hAnsi="맑은 고딕" w:eastAsia="맑은 고딕" w:cs="맑은 고딕"/>
                <w:b w:val="0"/>
                <w:i w:val="0"/>
                <w:sz w:val="15"/>
              </w:rPr>
              <w:t>NPU 전처리 64 대역</w:t>
            </w:r>
          </w:p>
        </w:tc>
        <w:tc>
          <w:tcPr>
            <w:tcW w:type="dxa" w:w="1247"/>
          </w:tcPr>
          <w:p>
            <w:pPr>
              <w:spacing w:after="0" w:before="0"/>
              <w:jc w:val="center"/>
            </w:pPr>
            <w:r/>
            <w:r>
              <w:rPr>
                <w:rFonts w:ascii="맑은 고딕" w:hAnsi="맑은 고딕" w:eastAsia="맑은 고딕" w:cs="맑은 고딕"/>
                <w:b w:val="0"/>
                <w:i w:val="0"/>
                <w:sz w:val="15"/>
              </w:rPr>
              <w:t>3.38</w:t>
            </w:r>
          </w:p>
        </w:tc>
        <w:tc>
          <w:tcPr>
            <w:tcW w:type="dxa" w:w="2154"/>
          </w:tcPr>
          <w:p>
            <w:pPr>
              <w:spacing w:after="0" w:before="0"/>
              <w:jc w:val="center"/>
            </w:pPr>
            <w:r/>
            <w:r>
              <w:rPr>
                <w:rFonts w:ascii="맑은 고딕" w:hAnsi="맑은 고딕" w:eastAsia="맑은 고딕" w:cs="맑은 고딕"/>
                <w:b w:val="0"/>
                <w:i w:val="0"/>
                <w:sz w:val="15"/>
              </w:rPr>
              <w:t>77 / 145 / 98</w:t>
            </w:r>
          </w:p>
        </w:tc>
        <w:tc>
          <w:tcPr>
            <w:tcW w:type="dxa" w:w="1757"/>
          </w:tcPr>
          <w:p>
            <w:pPr>
              <w:spacing w:after="0" w:before="0"/>
              <w:jc w:val="center"/>
            </w:pPr>
            <w:r/>
            <w:r>
              <w:rPr>
                <w:rFonts w:ascii="맑은 고딕" w:hAnsi="맑은 고딕" w:eastAsia="맑은 고딕" w:cs="맑은 고딕"/>
                <w:b w:val="0"/>
                <w:i w:val="0"/>
                <w:sz w:val="15"/>
              </w:rPr>
              <w:t>0.687 ± 0.005</w:t>
            </w:r>
          </w:p>
        </w:tc>
        <w:tc>
          <w:tcPr>
            <w:tcW w:type="dxa" w:w="1757"/>
          </w:tcPr>
          <w:p>
            <w:pPr>
              <w:spacing w:after="0" w:before="0"/>
              <w:jc w:val="center"/>
            </w:pPr>
            <w:r/>
            <w:r>
              <w:rPr>
                <w:rFonts w:ascii="맑은 고딕" w:hAnsi="맑은 고딕" w:eastAsia="맑은 고딕" w:cs="맑은 고딕"/>
                <w:b w:val="0"/>
                <w:i w:val="0"/>
                <w:sz w:val="15"/>
              </w:rPr>
              <w:t>0.504 ± 0.021</w:t>
            </w:r>
          </w:p>
        </w:tc>
      </w:tr>
      <w:tr>
        <w:tc>
          <w:tcPr>
            <w:tcW w:type="dxa" w:w="3855"/>
          </w:tcPr>
          <w:p>
            <w:pPr>
              <w:spacing w:after="0" w:before="0"/>
              <w:jc w:val="left"/>
            </w:pPr>
            <w:r/>
            <w:r>
              <w:rPr>
                <w:rFonts w:ascii="맑은 고딕" w:hAnsi="맑은 고딕" w:eastAsia="맑은 고딕" w:cs="맑은 고딕"/>
                <w:b w:val="0"/>
                <w:i w:val="0"/>
                <w:sz w:val="15"/>
              </w:rPr>
              <w:t>NPU 전처리 31 프레임</w:t>
            </w:r>
          </w:p>
        </w:tc>
        <w:tc>
          <w:tcPr>
            <w:tcW w:type="dxa" w:w="1247"/>
          </w:tcPr>
          <w:p>
            <w:pPr>
              <w:spacing w:after="0" w:before="0"/>
              <w:jc w:val="center"/>
            </w:pPr>
            <w:r/>
            <w:r>
              <w:rPr>
                <w:rFonts w:ascii="맑은 고딕" w:hAnsi="맑은 고딕" w:eastAsia="맑은 고딕" w:cs="맑은 고딕"/>
                <w:b w:val="0"/>
                <w:i w:val="0"/>
                <w:sz w:val="15"/>
              </w:rPr>
              <w:t>3.25</w:t>
            </w:r>
          </w:p>
        </w:tc>
        <w:tc>
          <w:tcPr>
            <w:tcW w:type="dxa" w:w="2154"/>
          </w:tcPr>
          <w:p>
            <w:pPr>
              <w:spacing w:after="0" w:before="0"/>
              <w:jc w:val="center"/>
            </w:pPr>
            <w:r/>
            <w:r>
              <w:rPr>
                <w:rFonts w:ascii="맑은 고딕" w:hAnsi="맑은 고딕" w:eastAsia="맑은 고딕" w:cs="맑은 고딕"/>
                <w:b w:val="0"/>
                <w:i w:val="0"/>
                <w:sz w:val="15"/>
              </w:rPr>
              <w:t>71 / 136 / 93</w:t>
            </w:r>
          </w:p>
        </w:tc>
        <w:tc>
          <w:tcPr>
            <w:tcW w:type="dxa" w:w="1757"/>
          </w:tcPr>
          <w:p>
            <w:pPr>
              <w:spacing w:after="0" w:before="0"/>
              <w:jc w:val="center"/>
            </w:pPr>
            <w:r/>
            <w:r>
              <w:rPr>
                <w:rFonts w:ascii="맑은 고딕" w:hAnsi="맑은 고딕" w:eastAsia="맑은 고딕" w:cs="맑은 고딕"/>
                <w:b w:val="0"/>
                <w:i w:val="0"/>
                <w:sz w:val="15"/>
              </w:rPr>
              <w:t>0.655 ± 0.011</w:t>
            </w:r>
          </w:p>
        </w:tc>
        <w:tc>
          <w:tcPr>
            <w:tcW w:type="dxa" w:w="1757"/>
          </w:tcPr>
          <w:p>
            <w:pPr>
              <w:spacing w:after="0" w:before="0"/>
              <w:jc w:val="center"/>
            </w:pPr>
            <w:r/>
            <w:r>
              <w:rPr>
                <w:rFonts w:ascii="맑은 고딕" w:hAnsi="맑은 고딕" w:eastAsia="맑은 고딕" w:cs="맑은 고딕"/>
                <w:b w:val="0"/>
                <w:i w:val="0"/>
                <w:sz w:val="15"/>
              </w:rPr>
              <w:t>0.465 ± 0.006</w:t>
            </w:r>
          </w:p>
        </w:tc>
      </w:tr>
      <w:tr>
        <w:tc>
          <w:tcPr>
            <w:tcW w:type="dxa" w:w="3855"/>
          </w:tcPr>
          <w:p>
            <w:pPr>
              <w:spacing w:after="0" w:before="0"/>
              <w:jc w:val="left"/>
            </w:pPr>
            <w:r/>
            <w:r>
              <w:rPr>
                <w:rFonts w:ascii="맑은 고딕" w:hAnsi="맑은 고딕" w:eastAsia="맑은 고딕" w:cs="맑은 고딕"/>
                <w:b w:val="0"/>
                <w:i w:val="0"/>
                <w:sz w:val="15"/>
              </w:rPr>
              <w:t>NPU 전처리 64 대역·31 프레임</w:t>
            </w:r>
          </w:p>
        </w:tc>
        <w:tc>
          <w:tcPr>
            <w:tcW w:type="dxa" w:w="1247"/>
          </w:tcPr>
          <w:p>
            <w:pPr>
              <w:spacing w:after="0" w:before="0"/>
              <w:jc w:val="center"/>
            </w:pPr>
            <w:r/>
            <w:r>
              <w:rPr>
                <w:rFonts w:ascii="맑은 고딕" w:hAnsi="맑은 고딕" w:eastAsia="맑은 고딕" w:cs="맑은 고딕"/>
                <w:b w:val="0"/>
                <w:i w:val="0"/>
                <w:sz w:val="15"/>
              </w:rPr>
              <w:t>5.96</w:t>
            </w:r>
          </w:p>
        </w:tc>
        <w:tc>
          <w:tcPr>
            <w:tcW w:type="dxa" w:w="2154"/>
          </w:tcPr>
          <w:p>
            <w:pPr>
              <w:spacing w:after="0" w:before="0"/>
              <w:jc w:val="center"/>
            </w:pPr>
            <w:r/>
            <w:r>
              <w:rPr>
                <w:rFonts w:ascii="맑은 고딕" w:hAnsi="맑은 고딕" w:eastAsia="맑은 고딕" w:cs="맑은 고딕"/>
                <w:b w:val="0"/>
                <w:i w:val="0"/>
                <w:sz w:val="15"/>
              </w:rPr>
              <w:t>133 / 252 / 172</w:t>
            </w:r>
          </w:p>
        </w:tc>
        <w:tc>
          <w:tcPr>
            <w:tcW w:type="dxa" w:w="1757"/>
          </w:tcPr>
          <w:p>
            <w:pPr>
              <w:spacing w:after="0" w:before="0"/>
              <w:jc w:val="center"/>
            </w:pPr>
            <w:r/>
            <w:r>
              <w:rPr>
                <w:rFonts w:ascii="맑은 고딕" w:hAnsi="맑은 고딕" w:eastAsia="맑은 고딕" w:cs="맑은 고딕"/>
                <w:b w:val="0"/>
                <w:i w:val="0"/>
                <w:sz w:val="15"/>
              </w:rPr>
              <w:t>0.690 ± 0.021</w:t>
            </w:r>
          </w:p>
        </w:tc>
        <w:tc>
          <w:tcPr>
            <w:tcW w:type="dxa" w:w="1757"/>
          </w:tcPr>
          <w:p>
            <w:pPr>
              <w:spacing w:after="0" w:before="0"/>
              <w:jc w:val="center"/>
            </w:pPr>
            <w:r/>
            <w:r>
              <w:rPr>
                <w:rFonts w:ascii="맑은 고딕" w:hAnsi="맑은 고딕" w:eastAsia="맑은 고딕" w:cs="맑은 고딕"/>
                <w:b w:val="0"/>
                <w:i w:val="0"/>
                <w:sz w:val="15"/>
              </w:rPr>
              <w:t>0.508 ± 0.023</w:t>
            </w:r>
          </w:p>
        </w:tc>
      </w:tr>
      <w:tr>
        <w:tc>
          <w:tcPr>
            <w:tcW w:type="dxa" w:w="3855"/>
          </w:tcPr>
          <w:p>
            <w:pPr>
              <w:spacing w:after="0" w:before="0"/>
              <w:jc w:val="left"/>
            </w:pPr>
            <w:r/>
            <w:r>
              <w:rPr>
                <w:rFonts w:ascii="맑은 고딕" w:hAnsi="맑은 고딕" w:eastAsia="맑은 고딕" w:cs="맑은 고딕"/>
                <w:b w:val="0"/>
                <w:i w:val="0"/>
                <w:sz w:val="15"/>
              </w:rPr>
              <w:t>NPU 근사 log</w:t>
            </w:r>
          </w:p>
        </w:tc>
        <w:tc>
          <w:tcPr>
            <w:tcW w:type="dxa" w:w="1247"/>
          </w:tcPr>
          <w:p>
            <w:pPr>
              <w:spacing w:after="0" w:before="0"/>
              <w:jc w:val="center"/>
            </w:pPr>
            <w:r/>
            <w:r>
              <w:rPr>
                <w:rFonts w:ascii="맑은 고딕" w:hAnsi="맑은 고딕" w:eastAsia="맑은 고딕" w:cs="맑은 고딕"/>
                <w:b w:val="0"/>
                <w:i w:val="0"/>
                <w:sz w:val="15"/>
              </w:rPr>
              <w:t>6.59 (추정)</w:t>
            </w:r>
          </w:p>
        </w:tc>
        <w:tc>
          <w:tcPr>
            <w:tcW w:type="dxa" w:w="2154"/>
          </w:tcPr>
          <w:p>
            <w:pPr>
              <w:spacing w:after="0" w:before="0"/>
              <w:jc w:val="center"/>
            </w:pPr>
            <w:r/>
            <w:r>
              <w:rPr>
                <w:rFonts w:ascii="맑은 고딕" w:hAnsi="맑은 고딕" w:eastAsia="맑은 고딕" w:cs="맑은 고딕"/>
                <w:b w:val="0"/>
                <w:i w:val="0"/>
                <w:sz w:val="15"/>
              </w:rPr>
              <w:t>236 / 421 / 223</w:t>
            </w:r>
          </w:p>
        </w:tc>
        <w:tc>
          <w:tcPr>
            <w:tcW w:type="dxa" w:w="1757"/>
          </w:tcPr>
          <w:p>
            <w:pPr>
              <w:spacing w:after="0" w:before="0"/>
              <w:jc w:val="center"/>
            </w:pPr>
            <w:r/>
            <w:r>
              <w:rPr>
                <w:rFonts w:ascii="맑은 고딕" w:hAnsi="맑은 고딕" w:eastAsia="맑은 고딕" w:cs="맑은 고딕"/>
                <w:b w:val="0"/>
                <w:i w:val="0"/>
                <w:sz w:val="15"/>
              </w:rPr>
              <w:t>0.703 ± 0.007</w:t>
            </w:r>
          </w:p>
        </w:tc>
        <w:tc>
          <w:tcPr>
            <w:tcW w:type="dxa" w:w="1757"/>
          </w:tcPr>
          <w:p>
            <w:pPr>
              <w:spacing w:after="0" w:before="0"/>
              <w:jc w:val="center"/>
            </w:pPr>
            <w:r/>
            <w:r>
              <w:rPr>
                <w:rFonts w:ascii="맑은 고딕" w:hAnsi="맑은 고딕" w:eastAsia="맑은 고딕" w:cs="맑은 고딕"/>
                <w:b w:val="0"/>
                <w:i w:val="0"/>
                <w:sz w:val="15"/>
              </w:rPr>
              <w:t>0.500 ± 0.011</w:t>
            </w:r>
          </w:p>
        </w:tc>
      </w:tr>
      <w:tr>
        <w:tc>
          <w:tcPr>
            <w:tcW w:type="dxa" w:w="3855"/>
          </w:tcPr>
          <w:p>
            <w:pPr>
              <w:spacing w:after="0" w:before="0"/>
              <w:jc w:val="left"/>
            </w:pPr>
            <w:r/>
            <w:r>
              <w:rPr>
                <w:rFonts w:ascii="맑은 고딕" w:hAnsi="맑은 고딕" w:eastAsia="맑은 고딕" w:cs="맑은 고딕"/>
                <w:b w:val="0"/>
                <w:i w:val="0"/>
                <w:sz w:val="15"/>
              </w:rPr>
              <w:t>CPU log-mel, 간격 62.5 ms (멜 32)</w:t>
            </w:r>
          </w:p>
        </w:tc>
        <w:tc>
          <w:tcPr>
            <w:tcW w:type="dxa" w:w="1247"/>
          </w:tcPr>
          <w:p>
            <w:pPr>
              <w:spacing w:after="0" w:before="0"/>
              <w:jc w:val="center"/>
            </w:pPr>
            <w:r/>
            <w:r>
              <w:rPr>
                <w:rFonts w:ascii="맑은 고딕" w:hAnsi="맑은 고딕" w:eastAsia="맑은 고딕" w:cs="맑은 고딕"/>
                <w:b w:val="0"/>
                <w:i w:val="0"/>
                <w:sz w:val="15"/>
              </w:rPr>
              <w:t>2.93</w:t>
            </w:r>
          </w:p>
        </w:tc>
        <w:tc>
          <w:tcPr>
            <w:tcW w:type="dxa" w:w="2154"/>
          </w:tcPr>
          <w:p>
            <w:pPr>
              <w:spacing w:after="0" w:before="0"/>
              <w:jc w:val="center"/>
            </w:pPr>
            <w:r/>
            <w:r>
              <w:rPr>
                <w:rFonts w:ascii="맑은 고딕" w:hAnsi="맑은 고딕" w:eastAsia="맑은 고딕" w:cs="맑은 고딕"/>
                <w:b w:val="0"/>
                <w:i w:val="0"/>
                <w:sz w:val="15"/>
              </w:rPr>
              <w:t>43 / 98 / 78</w:t>
            </w:r>
          </w:p>
        </w:tc>
        <w:tc>
          <w:tcPr>
            <w:tcW w:type="dxa" w:w="1757"/>
          </w:tcPr>
          <w:p>
            <w:pPr>
              <w:spacing w:after="0" w:before="0"/>
              <w:jc w:val="center"/>
            </w:pPr>
            <w:r/>
            <w:r>
              <w:rPr>
                <w:rFonts w:ascii="맑은 고딕" w:hAnsi="맑은 고딕" w:eastAsia="맑은 고딕" w:cs="맑은 고딕"/>
                <w:b w:val="0"/>
                <w:i w:val="0"/>
                <w:sz w:val="15"/>
              </w:rPr>
              <w:t>0.754 ± 0.014</w:t>
            </w:r>
          </w:p>
        </w:tc>
        <w:tc>
          <w:tcPr>
            <w:tcW w:type="dxa" w:w="1757"/>
          </w:tcPr>
          <w:p>
            <w:pPr>
              <w:spacing w:after="0" w:before="0"/>
              <w:jc w:val="center"/>
            </w:pPr>
            <w:r/>
            <w:r>
              <w:rPr>
                <w:rFonts w:ascii="맑은 고딕" w:hAnsi="맑은 고딕" w:eastAsia="맑은 고딕" w:cs="맑은 고딕"/>
                <w:b w:val="0"/>
                <w:i w:val="0"/>
                <w:sz w:val="15"/>
              </w:rPr>
              <w:t>0.542 ± 0.014</w:t>
            </w:r>
          </w:p>
        </w:tc>
      </w:tr>
      <w:tr>
        <w:tc>
          <w:tcPr>
            <w:tcW w:type="dxa" w:w="3855"/>
          </w:tcPr>
          <w:p>
            <w:pPr>
              <w:spacing w:after="0" w:before="0"/>
              <w:jc w:val="left"/>
            </w:pPr>
            <w:r/>
            <w:r>
              <w:rPr>
                <w:rFonts w:ascii="맑은 고딕" w:hAnsi="맑은 고딕" w:eastAsia="맑은 고딕" w:cs="맑은 고딕"/>
                <w:b w:val="0"/>
                <w:i w:val="0"/>
                <w:sz w:val="15"/>
              </w:rPr>
              <w:t>CPU log-mel, 간격 50 ms</w:t>
            </w:r>
          </w:p>
        </w:tc>
        <w:tc>
          <w:tcPr>
            <w:tcW w:type="dxa" w:w="1247"/>
          </w:tcPr>
          <w:p>
            <w:pPr>
              <w:spacing w:after="0" w:before="0"/>
              <w:jc w:val="center"/>
            </w:pPr>
            <w:r/>
            <w:r>
              <w:rPr>
                <w:rFonts w:ascii="맑은 고딕" w:hAnsi="맑은 고딕" w:eastAsia="맑은 고딕" w:cs="맑은 고딕"/>
                <w:b w:val="0"/>
                <w:i w:val="0"/>
                <w:sz w:val="15"/>
              </w:rPr>
              <w:t>3.66</w:t>
            </w:r>
          </w:p>
        </w:tc>
        <w:tc>
          <w:tcPr>
            <w:tcW w:type="dxa" w:w="2154"/>
          </w:tcPr>
          <w:p>
            <w:pPr>
              <w:spacing w:after="0" w:before="0"/>
              <w:jc w:val="center"/>
            </w:pPr>
            <w:r/>
            <w:r>
              <w:rPr>
                <w:rFonts w:ascii="맑은 고딕" w:hAnsi="맑은 고딕" w:eastAsia="맑은 고딕" w:cs="맑은 고딕"/>
                <w:b w:val="0"/>
                <w:i w:val="0"/>
                <w:sz w:val="15"/>
              </w:rPr>
              <w:t>54 / 121 / 98</w:t>
            </w:r>
          </w:p>
        </w:tc>
        <w:tc>
          <w:tcPr>
            <w:tcW w:type="dxa" w:w="1757"/>
          </w:tcPr>
          <w:p>
            <w:pPr>
              <w:spacing w:after="0" w:before="0"/>
              <w:jc w:val="center"/>
            </w:pPr>
            <w:r/>
            <w:r>
              <w:rPr>
                <w:rFonts w:ascii="맑은 고딕" w:hAnsi="맑은 고딕" w:eastAsia="맑은 고딕" w:cs="맑은 고딕"/>
                <w:b w:val="0"/>
                <w:i w:val="0"/>
                <w:sz w:val="15"/>
              </w:rPr>
              <w:t>0.758 ± 0.019</w:t>
            </w:r>
          </w:p>
        </w:tc>
        <w:tc>
          <w:tcPr>
            <w:tcW w:type="dxa" w:w="1757"/>
          </w:tcPr>
          <w:p>
            <w:pPr>
              <w:spacing w:after="0" w:before="0"/>
              <w:jc w:val="center"/>
            </w:pPr>
            <w:r/>
            <w:r>
              <w:rPr>
                <w:rFonts w:ascii="맑은 고딕" w:hAnsi="맑은 고딕" w:eastAsia="맑은 고딕" w:cs="맑은 고딕"/>
                <w:b w:val="0"/>
                <w:i w:val="0"/>
                <w:sz w:val="15"/>
              </w:rPr>
              <w:t>0.566 ± 0.025</w:t>
            </w:r>
          </w:p>
        </w:tc>
      </w:tr>
      <w:tr>
        <w:tc>
          <w:tcPr>
            <w:tcW w:type="dxa" w:w="3855"/>
          </w:tcPr>
          <w:p>
            <w:pPr>
              <w:spacing w:after="0" w:before="0"/>
              <w:jc w:val="left"/>
            </w:pPr>
            <w:r/>
            <w:r>
              <w:rPr>
                <w:rFonts w:ascii="맑은 고딕" w:hAnsi="맑은 고딕" w:eastAsia="맑은 고딕" w:cs="맑은 고딕"/>
                <w:b w:val="0"/>
                <w:i w:val="0"/>
                <w:sz w:val="15"/>
              </w:rPr>
              <w:t>CPU log-mel, 간격 25 ms</w:t>
            </w:r>
          </w:p>
        </w:tc>
        <w:tc>
          <w:tcPr>
            <w:tcW w:type="dxa" w:w="1247"/>
          </w:tcPr>
          <w:p>
            <w:pPr>
              <w:spacing w:after="0" w:before="0"/>
              <w:jc w:val="center"/>
            </w:pPr>
            <w:r/>
            <w:r>
              <w:rPr>
                <w:rFonts w:ascii="맑은 고딕" w:hAnsi="맑은 고딕" w:eastAsia="맑은 고딕" w:cs="맑은 고딕"/>
                <w:b w:val="0"/>
                <w:i w:val="0"/>
                <w:sz w:val="15"/>
              </w:rPr>
              <w:t>9.42</w:t>
            </w:r>
          </w:p>
        </w:tc>
        <w:tc>
          <w:tcPr>
            <w:tcW w:type="dxa" w:w="2154"/>
          </w:tcPr>
          <w:p>
            <w:pPr>
              <w:spacing w:after="0" w:before="0"/>
              <w:jc w:val="center"/>
            </w:pPr>
            <w:r/>
            <w:r>
              <w:rPr>
                <w:rFonts w:ascii="맑은 고딕" w:hAnsi="맑은 고딕" w:eastAsia="맑은 고딕" w:cs="맑은 고딕"/>
                <w:b w:val="0"/>
                <w:i w:val="0"/>
                <w:sz w:val="15"/>
              </w:rPr>
              <w:t>167 / 353 / 261</w:t>
            </w:r>
          </w:p>
        </w:tc>
        <w:tc>
          <w:tcPr>
            <w:tcW w:type="dxa" w:w="1757"/>
          </w:tcPr>
          <w:p>
            <w:pPr>
              <w:spacing w:after="0" w:before="0"/>
              <w:jc w:val="center"/>
            </w:pPr>
            <w:r/>
            <w:r>
              <w:rPr>
                <w:rFonts w:ascii="맑은 고딕" w:hAnsi="맑은 고딕" w:eastAsia="맑은 고딕" w:cs="맑은 고딕"/>
                <w:b w:val="0"/>
                <w:i w:val="0"/>
                <w:sz w:val="15"/>
              </w:rPr>
              <w:t>0.820 ± 0.006</w:t>
            </w:r>
          </w:p>
        </w:tc>
        <w:tc>
          <w:tcPr>
            <w:tcW w:type="dxa" w:w="1757"/>
          </w:tcPr>
          <w:p>
            <w:pPr>
              <w:spacing w:after="0" w:before="0"/>
              <w:jc w:val="center"/>
            </w:pPr>
            <w:r/>
            <w:r>
              <w:rPr>
                <w:rFonts w:ascii="맑은 고딕" w:hAnsi="맑은 고딕" w:eastAsia="맑은 고딕" w:cs="맑은 고딕"/>
                <w:b w:val="0"/>
                <w:i w:val="0"/>
                <w:sz w:val="15"/>
              </w:rPr>
              <w:t>0.651 ± 0.010</w:t>
            </w:r>
          </w:p>
        </w:tc>
      </w:tr>
      <w:tr>
        <w:tc>
          <w:tcPr>
            <w:tcW w:type="dxa" w:w="3855"/>
          </w:tcPr>
          <w:p>
            <w:pPr>
              <w:spacing w:after="0" w:before="0"/>
              <w:jc w:val="left"/>
            </w:pPr>
            <w:r/>
            <w:r>
              <w:rPr>
                <w:rFonts w:ascii="맑은 고딕" w:hAnsi="맑은 고딕" w:eastAsia="맑은 고딕" w:cs="맑은 고딕"/>
                <w:b w:val="0"/>
                <w:i w:val="0"/>
                <w:sz w:val="15"/>
              </w:rPr>
              <w:t>CPU log-mel, 간격 16 ms</w:t>
            </w:r>
          </w:p>
        </w:tc>
        <w:tc>
          <w:tcPr>
            <w:tcW w:type="dxa" w:w="1247"/>
          </w:tcPr>
          <w:p>
            <w:pPr>
              <w:spacing w:after="0" w:before="0"/>
              <w:jc w:val="center"/>
            </w:pPr>
            <w:r/>
            <w:r>
              <w:rPr>
                <w:rFonts w:ascii="맑은 고딕" w:hAnsi="맑은 고딕" w:eastAsia="맑은 고딕" w:cs="맑은 고딕"/>
                <w:b w:val="0"/>
                <w:i w:val="0"/>
                <w:sz w:val="15"/>
              </w:rPr>
              <w:t>15.06</w:t>
            </w:r>
          </w:p>
        </w:tc>
        <w:tc>
          <w:tcPr>
            <w:tcW w:type="dxa" w:w="2154"/>
          </w:tcPr>
          <w:p>
            <w:pPr>
              <w:spacing w:after="0" w:before="0"/>
              <w:jc w:val="center"/>
            </w:pPr>
            <w:r/>
            <w:r>
              <w:rPr>
                <w:rFonts w:ascii="맑은 고딕" w:hAnsi="맑은 고딕" w:eastAsia="맑은 고딕" w:cs="맑은 고딕"/>
                <w:b w:val="0"/>
                <w:i w:val="0"/>
                <w:sz w:val="15"/>
              </w:rPr>
              <w:t>267 / 565 / 418</w:t>
            </w:r>
          </w:p>
        </w:tc>
        <w:tc>
          <w:tcPr>
            <w:tcW w:type="dxa" w:w="1757"/>
          </w:tcPr>
          <w:p>
            <w:pPr>
              <w:spacing w:after="0" w:before="0"/>
              <w:jc w:val="center"/>
            </w:pPr>
            <w:r/>
            <w:r>
              <w:rPr>
                <w:rFonts w:ascii="맑은 고딕" w:hAnsi="맑은 고딕" w:eastAsia="맑은 고딕" w:cs="맑은 고딕"/>
                <w:b w:val="0"/>
                <w:i w:val="0"/>
                <w:sz w:val="15"/>
              </w:rPr>
              <w:t>0.836 ± 0.002</w:t>
            </w:r>
          </w:p>
        </w:tc>
        <w:tc>
          <w:tcPr>
            <w:tcW w:type="dxa" w:w="1757"/>
          </w:tcPr>
          <w:p>
            <w:pPr>
              <w:spacing w:after="0" w:before="0"/>
              <w:jc w:val="center"/>
            </w:pPr>
            <w:r/>
            <w:r>
              <w:rPr>
                <w:rFonts w:ascii="맑은 고딕" w:hAnsi="맑은 고딕" w:eastAsia="맑은 고딕" w:cs="맑은 고딕"/>
                <w:b w:val="0"/>
                <w:i w:val="0"/>
                <w:sz w:val="15"/>
              </w:rPr>
              <w:t>0.665 ± 0.015</w:t>
            </w:r>
          </w:p>
        </w:tc>
      </w:tr>
      <w:tr>
        <w:tc>
          <w:tcPr>
            <w:tcW w:type="dxa" w:w="3855"/>
          </w:tcPr>
          <w:p>
            <w:pPr>
              <w:spacing w:after="0" w:before="0"/>
              <w:jc w:val="left"/>
            </w:pPr>
            <w:r/>
            <w:r>
              <w:rPr>
                <w:rFonts w:ascii="맑은 고딕" w:hAnsi="맑은 고딕" w:eastAsia="맑은 고딕" w:cs="맑은 고딕"/>
                <w:b w:val="0"/>
                <w:i w:val="0"/>
                <w:sz w:val="15"/>
              </w:rPr>
              <w:t>CPU 추론 (Cortex-M4F) (원본 파형 가중치)</w:t>
            </w:r>
          </w:p>
        </w:tc>
        <w:tc>
          <w:tcPr>
            <w:tcW w:type="dxa" w:w="1247"/>
          </w:tcPr>
          <w:p>
            <w:pPr>
              <w:spacing w:after="0" w:before="0"/>
              <w:jc w:val="center"/>
            </w:pPr>
            <w:r/>
            <w:r>
              <w:rPr>
                <w:rFonts w:ascii="맑은 고딕" w:hAnsi="맑은 고딕" w:eastAsia="맑은 고딕" w:cs="맑은 고딕"/>
                <w:b w:val="0"/>
                <w:i w:val="0"/>
                <w:sz w:val="15"/>
              </w:rPr>
              <w:t>225.77</w:t>
            </w:r>
          </w:p>
        </w:tc>
        <w:tc>
          <w:tcPr>
            <w:tcW w:type="dxa" w:w="2154"/>
          </w:tcPr>
          <w:p>
            <w:pPr>
              <w:spacing w:after="0" w:before="0"/>
              <w:jc w:val="center"/>
            </w:pPr>
            <w:r/>
            <w:r>
              <w:rPr>
                <w:rFonts w:ascii="맑은 고딕" w:hAnsi="맑은 고딕" w:eastAsia="맑은 고딕" w:cs="맑은 고딕"/>
                <w:b w:val="0"/>
                <w:i w:val="0"/>
                <w:sz w:val="15"/>
              </w:rPr>
              <w:t>2008 / 5599 / 5599</w:t>
            </w:r>
          </w:p>
        </w:tc>
        <w:tc>
          <w:tcPr>
            <w:tcW w:type="dxa" w:w="1757"/>
          </w:tcPr>
          <w:p>
            <w:pPr>
              <w:spacing w:after="0" w:before="0"/>
              <w:jc w:val="center"/>
            </w:pPr>
            <w:r/>
            <w:r>
              <w:rPr>
                <w:rFonts w:ascii="맑은 고딕" w:hAnsi="맑은 고딕" w:eastAsia="맑은 고딕" w:cs="맑은 고딕"/>
                <w:b w:val="0"/>
                <w:i w:val="0"/>
                <w:sz w:val="15"/>
              </w:rPr>
              <w:t>= 원본 파형</w:t>
            </w:r>
          </w:p>
        </w:tc>
        <w:tc>
          <w:tcPr>
            <w:tcW w:type="dxa" w:w="1757"/>
          </w:tcPr>
          <w:p>
            <w:pPr>
              <w:spacing w:after="0" w:before="0"/>
              <w:jc w:val="center"/>
            </w:pPr>
            <w:r/>
            <w:r>
              <w:rPr>
                <w:rFonts w:ascii="맑은 고딕" w:hAnsi="맑은 고딕" w:eastAsia="맑은 고딕" w:cs="맑은 고딕"/>
                <w:b w:val="0"/>
                <w:i w:val="0"/>
                <w:sz w:val="15"/>
              </w:rPr>
              <w:t>= 원본 파형</w:t>
            </w:r>
          </w:p>
        </w:tc>
      </w:tr>
    </w:tbl>
    <w:p>
      <w:pPr>
        <w:spacing w:after="40" w:before="0" w:line="252" w:lineRule="auto"/>
      </w:pPr>
    </w:p>
    <w:p>
      <w:pPr>
        <w:sectPr>
          <w:pgSz w:w="11906" w:h="16838"/>
          <w:pgMar w:top="1701" w:right="567" w:bottom="1134" w:left="567" w:header="0" w:footer="0" w:gutter="0"/>
          <w:cols w:space="360" w:num="1"/>
          <w:docGrid w:linePitch="360"/>
        </w:sectPr>
      </w:pPr>
    </w:p>
    <w:p>
      <w:pPr>
        <w:spacing w:after="40" w:before="0" w:line="252" w:lineRule="auto"/>
      </w:pPr>
      <w:r>
        <w:rPr>
          <w:rFonts w:ascii="맑은 고딕" w:hAnsi="맑은 고딕" w:eastAsia="맑은 고딕" w:cs="맑은 고딕"/>
          <w:b/>
          <w:i w:val="0"/>
          <w:sz w:val="20"/>
        </w:rPr>
        <w:t>1. 서  론</w:t>
      </w:r>
    </w:p>
    <w:p>
      <w:pPr>
        <w:spacing w:after="40" w:before="0" w:line="252"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log-mel 전처리는 CPU 가 맡거나, 아예 없애고 원본 파형을 가속기에 직접 넣어야 한다. 벤더의 음성 키워드 참조 설계는 후자를 택하며, MFCC 를 쓰는 소형 모델들과 비슷한 정확도(96.3% 대 95.4~96.4%)를 보고했다 [4].</w:t>
      </w:r>
    </w:p>
    <w:p>
      <w:pPr>
        <w:spacing w:after="40" w:before="0" w:line="252"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구성(과 CPU 추론 대조군)으로 나누어 정확도와 판단 1회 지연을 보드에서 재고 에너지를 추정한 정확도–에너지 곡선. (2) 필터뱅크·로그 압축·분할 등 전처리를 NPU 연산으로 옮긴 변형이 원본 파형 구성을 유의하게 넘지 못한다는 부정 결과와, 선형 부분만 옮긴 구성은 원본 파형 구성보다 에너지가 적지만 정확도 이득이 없어, CPU 전처리의 저에너지 구성과 비슷한 에너지에서 앞면 끝에 머문다는 실측. (3) 거친 log-mel(프레임 간격 62.5 ms, 멜 32)을 CPU 에 남기는 구성이 원본 파형 구성보다 정확도가 유의하게 높으면서 추정 에너지는 같거나 적다는 관찰과, 전처리가 NPU 가 처리할 데이터량을 줄이는 단계라는 해석.</w:t>
      </w:r>
    </w:p>
    <w:p>
      <w:pPr>
        <w:spacing w:after="40" w:before="0" w:line="252" w:lineRule="auto"/>
      </w:pPr>
      <w:r>
        <w:rPr>
          <w:rFonts w:ascii="맑은 고딕" w:hAnsi="맑은 고딕" w:eastAsia="맑은 고딕" w:cs="맑은 고딕"/>
          <w:b/>
          <w:i w:val="0"/>
          <w:sz w:val="20"/>
        </w:rPr>
        <w:t>2. 관련 연구</w:t>
      </w:r>
    </w:p>
    <w:p>
      <w:pPr>
        <w:spacing w:after="40" w:before="0" w:line="252"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원본 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52" w:lineRule="auto"/>
      </w:pPr>
      <w:r>
        <w:rPr>
          <w:rFonts w:ascii="맑은 고딕" w:hAnsi="맑은 고딕" w:eastAsia="맑은 고딕" w:cs="맑은 고딕"/>
          <w:b/>
          <w:i w:val="0"/>
          <w:sz w:val="20"/>
        </w:rPr>
        <w:t>3. 시스템과 실험 설계</w:t>
      </w:r>
    </w:p>
    <w:p>
      <w:pPr>
        <w:spacing w:after="40" w:before="0" w:line="252"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마다(가속기 전처리 구성은 프레임 격자에 맞춰 256 ms 마다) 5클래스(사이렌·유리 파손·비명·개 짖음·배경)를 판단한다. 모델은 가중치 8 bit QAT, 가속기 가중치 메모리 442 KB 안에 들어간다.</w:t>
      </w:r>
    </w:p>
    <w:p>
      <w:pPr>
        <w:spacing w:after="40" w:before="0" w:line="252"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 데이터의 유리·비명 창은 저자가 전수 청취해 양성을 확정했다(채점 창 4,965). 외부 평가는 AudioSet 의 별도 영상에서 뽑은 673창(양성 271, 음성 402) 으로, 학습에 쓰지 않았다. 오경보율은 시험 데이터 배경에서 300회/h 가 되는 문턱값을 잡아 외부에도 같은 값을 썼고, 지표는 macro-F1 이다.</w:t>
      </w:r>
    </w:p>
    <w:p>
      <w:pPr>
        <w:spacing w:after="40" w:before="0" w:line="252" w:lineRule="auto"/>
        <w:ind w:firstLine="180"/>
        <w:jc w:val="both"/>
      </w:pPr>
      <w:r>
        <w:rPr>
          <w:rFonts w:ascii="맑은 고딕" w:hAnsi="맑은 고딕" w:eastAsia="맑은 고딕" w:cs="맑은 고딕"/>
          <w:b w:val="0"/>
          <w:i w:val="0"/>
          <w:sz w:val="18"/>
        </w:rPr>
        <w:t>구성. 원본 파형 (전처리 없음): 원본 파형을 128×128 로 접어 1D CNN 에 넣는 벤더 방식. NPU 근사 log: 로그 압축을 NPU 안의 구간선형 층으로 근사한 1D 구성. NPU 전처리 (Gabor 필터뱅크): 멜 대역폭에 맞춘 512탭 Gabor 필터(cos·sin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그 변형 3종은 Gabor 필터를 64쌍으로 늘려 64 대역을 얻은 NPU 전처리 64 대역, 적분 위치 간격을 반으로 좁혀 프레임 간격 64 ms 를 32 ms 로 하고 프레임 수를 16 에서 31 로 늘린 NPU 전처리 31 프레임, 둘 다 적용한 NPU 전처리 64 대역·31 프레임 이다. CPU log-mel 네 구성: 프레임 간격 62.5 ms(멜 32)·50 ms(멜 32)·25 ms(멜 64)·16 ms(멜 64) 의 증분 log-mel을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52" w:lineRule="auto"/>
        <w:ind w:firstLine="180"/>
        <w:jc w:val="both"/>
      </w:pPr>
      <w:r>
        <w:rPr>
          <w:rFonts w:ascii="맑은 고딕" w:hAnsi="맑은 고딕" w:eastAsia="맑은 고딕" w:cs="맑은 고딕"/>
          <w:b w:val="0"/>
          <w:i w:val="0"/>
          <w:sz w:val="18"/>
        </w:rPr>
        <w:t>지연과 에너지. 지연은 보드에서 SysTick(코어 클럭 사이클, 분해능 10 ns)으로 1,000회 재어 최악값을 보고한다(전원 투입 직후, 코어 100 MHz, CNN 50 MHz; CPU 추론만 SysTick 의 24 bit 한계(168 ms)를 넘어 하드웨어 타이머 TMR0, 1 μs 분해능). 에너지는 외부 계측 장비 없이 E = t전처리·Pcpu + (t적재 + t출력)·Pload + t추론·Pnpu 로 추정했으며, 전력값은 데이터시트 [1] 와 동일 칩 실측 선행연구 두 벌(Moss·Ulkar &amp; Okman [3, 4], Moosmann [5])의 세 출처를 나란히 써 범위로 보고한다. 측정값이 아님을 모든 수치에 밝힌다.</w:t>
      </w:r>
    </w:p>
    <w:p>
      <w:pPr>
        <w:spacing w:after="40" w:before="0" w:line="252" w:lineRule="auto"/>
      </w:pPr>
      <w:r>
        <w:rPr>
          <w:rFonts w:ascii="맑은 고딕" w:hAnsi="맑은 고딕" w:eastAsia="맑은 고딕" w:cs="맑은 고딕"/>
          <w:b/>
          <w:i w:val="0"/>
          <w:sz w:val="20"/>
        </w:rPr>
        <w:t>4. 결  과</w:t>
      </w:r>
    </w:p>
    <w:p>
      <w:pPr>
        <w:spacing w:after="40" w:before="0" w:line="252"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52"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이전 데이터 버전에서 시험한 NPU 전처리 변형 다섯 가지도 원본 파형 구성 대비 -0.050~+0.003 으로, 신뢰구간이 0 을 넘는 개선은 없었다. 지원하지 않는 비선형을 합성곱으로 흉내 내는 순간 NPU 는 CPU 보다 비싸진다.</w:t>
      </w:r>
    </w:p>
    <w:p>
      <w:pPr>
        <w:spacing w:after="40" w:before="0" w:line="252" w:lineRule="auto"/>
        <w:ind w:firstLine="180"/>
        <w:jc w:val="both"/>
      </w:pPr>
      <w:r>
        <w:rPr>
          <w:rFonts w:ascii="맑은 고딕" w:hAnsi="맑은 고딕" w:eastAsia="맑은 고딕" w:cs="맑은 고딕"/>
          <w:b w:val="0"/>
          <w:i w:val="0"/>
          <w:sz w:val="18"/>
        </w:rPr>
        <w:t xml:space="preserve">선형 부분만 옮기면 에너지는 줄지만 정확도는 유의한 차이가 없다.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μJ, Moosmann 52 대 78 μJ; 판단 1회 1.85 ms 대 2.53 ms), CPU log-mel 62.5 ms 구성과는 비슷한 에너지(데이터시트 기준 39 대 43 μJ)에서 시험 macro-F1 이 0.11 낮다. 두 네트워크를 동시 적재한 보드에서 가속기 출력·CPU 특징·최종 로짓이 전부 호스트와 비트 일치했고, CPU 몫 0.70 ms 중 80%는 가속기 메모리에서 int32 출력 2,048개를 읽어 절댓값과 8위치 합산까지 하는 시간, 20%는 정수 로그였다(보드 실측). </w:t>
      </w:r>
    </w:p>
    <w:p>
      <w:pPr>
        <w:spacing w:after="40" w:before="0" w:line="252"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39 에서 71~133 μJ 로 더 빠르게 늘어 세 전력 출처 모두에서 CPU 전처리 곡선 아래에 머물렀다(그림 1). 늘어난 비용은 CPU의 가속기 메모리 읽기(46~51%)와 NPU 연산(39~45%)이 비슷하게 나눴다.</w:t>
      </w:r>
    </w:p>
    <w:p>
      <w:pPr>
        <w:spacing w:after="40" w:before="0" w:line="252"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log-mel이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4 μJ)는 작아, 두 구성의 차이는 사실상 정확도에서 난다. 원본 파형 구성과 NPU 근사 log 는 모두 다른 점에 지배된다.</w:t>
      </w:r>
    </w:p>
    <w:p>
      <w:pPr>
        <w:spacing w:after="40" w:before="0" w:line="252"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52" w:lineRule="auto"/>
        <w:ind w:firstLine="180"/>
        <w:jc w:val="both"/>
      </w:pPr>
      <w:r>
        <w:rPr>
          <w:rFonts w:ascii="맑은 고딕" w:hAnsi="맑은 고딕" w:eastAsia="맑은 고딕" w:cs="맑은 고딕"/>
          <w:b w:val="0"/>
          <w:i w:val="0"/>
          <w:sz w:val="18"/>
        </w:rPr>
        <w:t>log 연산을 NPU에서 수행할 수 없어 중간 결과를 int32로 CPU에 읽어 와야 하는 데이터 이동이 NPU 전처리 CPU 몫의 대부분(80%)을 차지했고, 대역·프레임을 늘리면 NPU 연산도 비슷한 비중으로 늘었다.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3240000" cy="2046000"/>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240000" cy="2046000"/>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52" w:lineRule="auto"/>
      </w:pPr>
      <w:r>
        <w:rPr>
          <w:rFonts w:ascii="맑은 고딕" w:hAnsi="맑은 고딕" w:eastAsia="맑은 고딕" w:cs="맑은 고딕"/>
          <w:b/>
          <w:i w:val="0"/>
          <w:sz w:val="20"/>
        </w:rPr>
        <w:t>5. 한계와 결론</w:t>
      </w:r>
    </w:p>
    <w:p>
      <w:pPr>
        <w:spacing w:after="40" w:before="0" w:line="252"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 데이터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원본 파형 쪽 변형을 더 시도할 여지는 남아 있다. 향후 과제로, CPU 몫의 80%를 차지하는 읽기와 위치 합산을 NPU 에서 수행하려면 8비트 출력에 맞춘 재학습이 필요하다.</w:t>
      </w:r>
    </w:p>
    <w:p>
      <w:pPr>
        <w:spacing w:after="40" w:before="0" w:line="252" w:lineRule="auto"/>
        <w:ind w:firstLine="180"/>
        <w:jc w:val="both"/>
      </w:pPr>
      <w:r>
        <w:rPr>
          <w:rFonts w:ascii="맑은 고딕" w:hAnsi="맑은 고딕" w:eastAsia="맑은 고딕" w:cs="맑은 고딕"/>
          <w:b w:val="0"/>
          <w:i w:val="0"/>
          <w:sz w:val="18"/>
        </w:rPr>
        <w:t>평균 전력. 판단 1회 에너지 43 μJ 를 초당 4회로 환산하면 0.17 mW 로, 마이크 I2S 와 DMA 를 살린 가장 깊은 저전력 모드의 대기 전력까지 더한 평균 전력 11~14 mW(데이터시트 기반 추정)의 1.3~1.6% 에 그친다. 판단당 에너지의 차이가 시스템 평균 전력에 드러나려면 대기 전력이 판단 비용 아래로 내려가야 하며, 그 전까지는 대기 모드와 가속기 메모리 유지 방식이 평균 전력을 결정한다. 같은 이유로 RISC-V 코어를 상시 게이트로 두어 이벤트 후보에서만 판단하는 설계는 평균 전력을 거의 줄이지 못할 것으로 추정되고, RISC-V 로 전처리를 옮기는 안도 FPU 없는 60 MHz 코어의 전력이 Cortex-M4F 의 0.6~1.0배라 손익분기 전처리 지연 2.2~4.2 ms 를 지키기 어려워 제외했다. I2S 없이 깨우는 경로(아날로그 비교기 등)와 그때의 짧고 조용한 이벤트 재현율 평가는 향후 과제로 남긴다.</w:t>
      </w:r>
    </w:p>
    <w:p>
      <w:pPr>
        <w:spacing w:after="40" w:before="0" w:line="252"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w:t>
      </w:r>
    </w:p>
    <w:p>
      <w:pPr>
        <w:spacing w:after="40" w:before="0" w:line="252" w:lineRule="auto"/>
      </w:pPr>
      <w:r>
        <w:rPr>
          <w:rFonts w:ascii="맑은 고딕" w:hAnsi="맑은 고딕" w:eastAsia="맑은 고딕" w:cs="맑은 고딕"/>
          <w:b/>
          <w:i w:val="0"/>
          <w:sz w:val="18"/>
        </w:rPr>
        <w:t>참고문헌</w:t>
      </w:r>
    </w:p>
    <w:p>
      <w:pPr>
        <w:spacing w:after="0" w:before="0" w:line="240"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0" w:before="0" w:line="240" w:lineRule="auto"/>
        <w:jc w:val="both"/>
      </w:pPr>
      <w:r>
        <w:rPr>
          <w:rFonts w:ascii="맑은 고딕" w:hAnsi="맑은 고딕" w:eastAsia="맑은 고딕" w:cs="맑은 고딕"/>
          <w:b w:val="0"/>
          <w:i w:val="0"/>
          <w:sz w:val="15"/>
        </w:rPr>
        <w:t>[2] Analog Devices, "MAX78000 User Guide," UG7456, Rev. 1, Mar. 2024.</w:t>
      </w:r>
    </w:p>
    <w:p>
      <w:pPr>
        <w:spacing w:after="0" w:before="0" w:line="240"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0" w:before="0" w:line="240"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0" w:before="0" w:line="240"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0" w:before="0" w:line="240"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0" w:before="0" w:line="240"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0" w:before="0" w:line="240"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0" w:before="0" w:line="240"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0" w:before="0" w:line="240"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0" w:before="0" w:line="240"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0" w:before="0" w:line="240"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0" w:before="0" w:line="240"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