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7개 구성으로 같은 데이터·같은 보드에서 실측했다. 벤더 참조 설계처럼 원파형을 NPU 에 직접 넣어 전처리를 없앤 구성은 CPU 로그 멜 구성보다 시험셋 macro-F1 이 0.166 낮았고, 로그 압축을 NPU 연산으로 근사한 변형은 이 격차를 되찾지 못했으며, 선형 부분(필터뱅크와 에너지 적분)만 NPU 로 옮긴 구성은 에너지를 가장 적게 쓰지만 정확도는 원파형과 같았다.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공개 전력값 범위, 세로 막대는 시드 표준편차(n=3). NPU 근사 log(*) 는 보드 미실측으로 지연을 합성 사이클로 추정한 점. 큰 고리와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3402"/>
          </w:tcPr>
          <w:p>
            <w:pPr>
              <w:spacing w:after="0" w:before="0"/>
              <w:jc w:val="center"/>
            </w:pPr>
            <w:r/>
            <w:r>
              <w:rPr>
                <w:rFonts w:ascii="맑은 고딕" w:hAnsi="맑은 고딕" w:eastAsia="맑은 고딕" w:cs="맑은 고딕"/>
                <w:b/>
                <w:i w:val="0"/>
                <w:sz w:val="15"/>
              </w:rPr>
              <w:t>구성</w:t>
            </w:r>
          </w:p>
        </w:tc>
        <w:tc>
          <w:tcPr>
            <w:tcW w:type="dxa" w:w="1361"/>
          </w:tcPr>
          <w:p>
            <w:pPr>
              <w:spacing w:after="0" w:before="0"/>
              <w:jc w:val="center"/>
            </w:pPr>
            <w:r/>
            <w:r>
              <w:rPr>
                <w:rFonts w:ascii="맑은 고딕" w:hAnsi="맑은 고딕" w:eastAsia="맑은 고딕" w:cs="맑은 고딕"/>
                <w:b/>
                <w:i w:val="0"/>
                <w:sz w:val="15"/>
              </w:rPr>
              <w:t>판단 1회 지연 (ms)</w:t>
            </w:r>
          </w:p>
        </w:tc>
        <w:tc>
          <w:tcPr>
            <w:tcW w:type="dxa" w:w="226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3402"/>
          </w:tcPr>
          <w:p>
            <w:pPr>
              <w:spacing w:after="0" w:before="0"/>
              <w:jc w:val="left"/>
            </w:pPr>
            <w:r/>
            <w:r>
              <w:rPr>
                <w:rFonts w:ascii="맑은 고딕" w:hAnsi="맑은 고딕" w:eastAsia="맑은 고딕" w:cs="맑은 고딕"/>
                <w:b w:val="0"/>
                <w:i w:val="0"/>
                <w:sz w:val="15"/>
              </w:rPr>
              <w:t>원본 파형 (전처리 없음)</w:t>
            </w:r>
          </w:p>
        </w:tc>
        <w:tc>
          <w:tcPr>
            <w:tcW w:type="dxa" w:w="1361"/>
          </w:tcPr>
          <w:p>
            <w:pPr>
              <w:spacing w:after="0" w:before="0"/>
              <w:jc w:val="center"/>
            </w:pPr>
            <w:r/>
            <w:r>
              <w:rPr>
                <w:rFonts w:ascii="맑은 고딕" w:hAnsi="맑은 고딕" w:eastAsia="맑은 고딕" w:cs="맑은 고딕"/>
                <w:b w:val="0"/>
                <w:i w:val="0"/>
                <w:sz w:val="15"/>
              </w:rPr>
              <w:t>2.53</w:t>
            </w:r>
          </w:p>
        </w:tc>
        <w:tc>
          <w:tcPr>
            <w:tcW w:type="dxa" w:w="226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3402"/>
          </w:tcPr>
          <w:p>
            <w:pPr>
              <w:spacing w:after="0" w:before="0"/>
              <w:jc w:val="left"/>
            </w:pPr>
            <w:r/>
            <w:r>
              <w:rPr>
                <w:rFonts w:ascii="맑은 고딕" w:hAnsi="맑은 고딕" w:eastAsia="맑은 고딕" w:cs="맑은 고딕"/>
                <w:b w:val="0"/>
                <w:i w:val="0"/>
                <w:sz w:val="15"/>
              </w:rPr>
              <w:t>NPU 전처리 (Gabor 필터뱅크)</w:t>
            </w:r>
          </w:p>
        </w:tc>
        <w:tc>
          <w:tcPr>
            <w:tcW w:type="dxa" w:w="1361"/>
          </w:tcPr>
          <w:p>
            <w:pPr>
              <w:spacing w:after="0" w:before="0"/>
              <w:jc w:val="center"/>
            </w:pPr>
            <w:r/>
            <w:r>
              <w:rPr>
                <w:rFonts w:ascii="맑은 고딕" w:hAnsi="맑은 고딕" w:eastAsia="맑은 고딕" w:cs="맑은 고딕"/>
                <w:b w:val="0"/>
                <w:i w:val="0"/>
                <w:sz w:val="15"/>
              </w:rPr>
              <w:t>1.98</w:t>
            </w:r>
          </w:p>
        </w:tc>
        <w:tc>
          <w:tcPr>
            <w:tcW w:type="dxa" w:w="226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3402"/>
          </w:tcPr>
          <w:p>
            <w:pPr>
              <w:spacing w:after="0" w:before="0"/>
              <w:jc w:val="left"/>
            </w:pPr>
            <w:r/>
            <w:r>
              <w:rPr>
                <w:rFonts w:ascii="맑은 고딕" w:hAnsi="맑은 고딕" w:eastAsia="맑은 고딕" w:cs="맑은 고딕"/>
                <w:b w:val="0"/>
                <w:i w:val="0"/>
                <w:sz w:val="15"/>
              </w:rPr>
              <w:t>NPU 근사 log</w:t>
            </w:r>
          </w:p>
        </w:tc>
        <w:tc>
          <w:tcPr>
            <w:tcW w:type="dxa" w:w="1361"/>
          </w:tcPr>
          <w:p>
            <w:pPr>
              <w:spacing w:after="0" w:before="0"/>
              <w:jc w:val="center"/>
            </w:pPr>
            <w:r/>
            <w:r>
              <w:rPr>
                <w:rFonts w:ascii="맑은 고딕" w:hAnsi="맑은 고딕" w:eastAsia="맑은 고딕" w:cs="맑은 고딕"/>
                <w:b w:val="0"/>
                <w:i w:val="0"/>
                <w:sz w:val="15"/>
              </w:rPr>
              <w:t>6.59 (추정)</w:t>
            </w:r>
          </w:p>
        </w:tc>
        <w:tc>
          <w:tcPr>
            <w:tcW w:type="dxa" w:w="226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3402"/>
          </w:tcPr>
          <w:p>
            <w:pPr>
              <w:spacing w:after="0" w:before="0"/>
              <w:jc w:val="left"/>
            </w:pPr>
            <w:r/>
            <w:r>
              <w:rPr>
                <w:rFonts w:ascii="맑은 고딕" w:hAnsi="맑은 고딕" w:eastAsia="맑은 고딕" w:cs="맑은 고딕"/>
                <w:b w:val="0"/>
                <w:i w:val="0"/>
                <w:sz w:val="15"/>
              </w:rPr>
              <w:t>CPU log-mel, 간격 62.5 ms (멜 32)</w:t>
            </w:r>
          </w:p>
        </w:tc>
        <w:tc>
          <w:tcPr>
            <w:tcW w:type="dxa" w:w="1361"/>
          </w:tcPr>
          <w:p>
            <w:pPr>
              <w:spacing w:after="0" w:before="0"/>
              <w:jc w:val="center"/>
            </w:pPr>
            <w:r/>
            <w:r>
              <w:rPr>
                <w:rFonts w:ascii="맑은 고딕" w:hAnsi="맑은 고딕" w:eastAsia="맑은 고딕" w:cs="맑은 고딕"/>
                <w:b w:val="0"/>
                <w:i w:val="0"/>
                <w:sz w:val="15"/>
              </w:rPr>
              <w:t>2.93</w:t>
            </w:r>
          </w:p>
        </w:tc>
        <w:tc>
          <w:tcPr>
            <w:tcW w:type="dxa" w:w="226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3402"/>
          </w:tcPr>
          <w:p>
            <w:pPr>
              <w:spacing w:after="0" w:before="0"/>
              <w:jc w:val="left"/>
            </w:pPr>
            <w:r/>
            <w:r>
              <w:rPr>
                <w:rFonts w:ascii="맑은 고딕" w:hAnsi="맑은 고딕" w:eastAsia="맑은 고딕" w:cs="맑은 고딕"/>
                <w:b w:val="0"/>
                <w:i w:val="0"/>
                <w:sz w:val="15"/>
              </w:rPr>
              <w:t>CPU log-mel, 간격 50 ms</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3402"/>
          </w:tcPr>
          <w:p>
            <w:pPr>
              <w:spacing w:after="0" w:before="0"/>
              <w:jc w:val="left"/>
            </w:pPr>
            <w:r/>
            <w:r>
              <w:rPr>
                <w:rFonts w:ascii="맑은 고딕" w:hAnsi="맑은 고딕" w:eastAsia="맑은 고딕" w:cs="맑은 고딕"/>
                <w:b w:val="0"/>
                <w:i w:val="0"/>
                <w:sz w:val="15"/>
              </w:rPr>
              <w:t>CPU log-mel, 간격 25 ms</w:t>
            </w:r>
          </w:p>
        </w:tc>
        <w:tc>
          <w:tcPr>
            <w:tcW w:type="dxa" w:w="1361"/>
          </w:tcPr>
          <w:p>
            <w:pPr>
              <w:spacing w:after="0" w:before="0"/>
              <w:jc w:val="center"/>
            </w:pPr>
            <w:r/>
            <w:r>
              <w:rPr>
                <w:rFonts w:ascii="맑은 고딕" w:hAnsi="맑은 고딕" w:eastAsia="맑은 고딕" w:cs="맑은 고딕"/>
                <w:b w:val="0"/>
                <w:i w:val="0"/>
                <w:sz w:val="15"/>
              </w:rPr>
              <w:t>9.42</w:t>
            </w:r>
          </w:p>
        </w:tc>
        <w:tc>
          <w:tcPr>
            <w:tcW w:type="dxa" w:w="226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3402"/>
          </w:tcPr>
          <w:p>
            <w:pPr>
              <w:spacing w:after="0" w:before="0"/>
              <w:jc w:val="left"/>
            </w:pPr>
            <w:r/>
            <w:r>
              <w:rPr>
                <w:rFonts w:ascii="맑은 고딕" w:hAnsi="맑은 고딕" w:eastAsia="맑은 고딕" w:cs="맑은 고딕"/>
                <w:b w:val="0"/>
                <w:i w:val="0"/>
                <w:sz w:val="15"/>
              </w:rPr>
              <w:t>CPU log-mel, 간격 16 ms</w:t>
            </w:r>
          </w:p>
        </w:tc>
        <w:tc>
          <w:tcPr>
            <w:tcW w:type="dxa" w:w="1361"/>
          </w:tcPr>
          <w:p>
            <w:pPr>
              <w:spacing w:after="0" w:before="0"/>
              <w:jc w:val="center"/>
            </w:pPr>
            <w:r/>
            <w:r>
              <w:rPr>
                <w:rFonts w:ascii="맑은 고딕" w:hAnsi="맑은 고딕" w:eastAsia="맑은 고딕" w:cs="맑은 고딕"/>
                <w:b w:val="0"/>
                <w:i w:val="0"/>
                <w:sz w:val="15"/>
              </w:rPr>
              <w:t>15.06</w:t>
            </w:r>
          </w:p>
        </w:tc>
        <w:tc>
          <w:tcPr>
            <w:tcW w:type="dxa" w:w="226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3402"/>
          </w:tcPr>
          <w:p>
            <w:pPr>
              <w:spacing w:after="0" w:before="0"/>
              <w:jc w:val="left"/>
            </w:pPr>
            <w:r/>
            <w:r>
              <w:rPr>
                <w:rFonts w:ascii="맑은 고딕" w:hAnsi="맑은 고딕" w:eastAsia="맑은 고딕" w:cs="맑은 고딕"/>
                <w:b w:val="0"/>
                <w:i w:val="0"/>
                <w:sz w:val="15"/>
              </w:rPr>
              <w:t>CPU 추론 (Cortex-M4F) (원파형 가중치)</w:t>
            </w:r>
          </w:p>
        </w:tc>
        <w:tc>
          <w:tcPr>
            <w:tcW w:type="dxa" w:w="1361"/>
          </w:tcPr>
          <w:p>
            <w:pPr>
              <w:spacing w:after="0" w:before="0"/>
              <w:jc w:val="center"/>
            </w:pPr>
            <w:r/>
            <w:r>
              <w:rPr>
                <w:rFonts w:ascii="맑은 고딕" w:hAnsi="맑은 고딕" w:eastAsia="맑은 고딕" w:cs="맑은 고딕"/>
                <w:b w:val="0"/>
                <w:i w:val="0"/>
                <w:sz w:val="15"/>
              </w:rPr>
              <w:t>225.77</w:t>
            </w:r>
          </w:p>
        </w:tc>
        <w:tc>
          <w:tcPr>
            <w:tcW w:type="dxa" w:w="226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로그 멜 전처리는 CPU 가 맡거나, 아예 없애고 원파형을 가속기에 직접 넣어야 한다. 벤더의 음성 키워드 참조 설계는 후자를 택하며 음성에서는 정확도 손실이 거의 없다고 알려져 있다 [4].</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7개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결과와, 선형 부분만 옮긴 구성이 정확도 이득 없이 에너지만 줄여 곡선의 저에너지 끝이 된다는 실측.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NPU 전처리 (Gabor 필터뱅크): 멜 대역폭에 맞춘 512탭 Gabor 필터뱅크(cos·sin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로그 멜을 CPU 가 계산하고 2D CNN 을 NPU 에 올린다.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 으로 1,000회 재어 최악값을 보고한다(전원 투입 직후, 코어 100 MHz, CNN 50 MHz). 에너지는 외부 계측 장비 없이 E = t전처리·Pcpu + (t적재 + t출력)·Pload + t추론·Pnpu 로 추정했으며, 전력값은 데이터시트 [1] 와 동일 칩 실측 선행연구 [3–5] 두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못했으나(원본 파형 구성 대비 -0.026 [-0.082, +0.030], CPU log-mel 62.5 ms 구성 대비 -0.111 [-0.162, -0.060]), 원본 파형 구성과 구분되지 않는 정확도를 더 낮은 에너지로 달성해 정확도–에너지 곡선의 저에너지 끝을 이룬다. 판단 1회 1.98 ms 대 2.53 ms, 추정 에너지는 데이터시트 기준 40 대 71 μJ, Moosmann 기준 56 대 78 μJ 이며, CPU log-mel 62.5 ms 구성보다 적다는 결론은 NPU 와 CPU 의 전력비가 12.7 미만일 때 성립한다(공개 전력값은 전부 그 안). 두 네트워크를 동시 적재한 보드에서 가속기 출력·CPU 특징·최종 로짓이 전부 호스트와 비트 일치했고, CPU 몫 0.84 ms 의 대부분은 로그가 아니라 가속기 메모리에서 int32 출력 2,048 개를 읽어 오는 시간이었다. </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이고,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원파형 쪽 변형을 더 시도할 여지는 남아 있다.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에너지를 조금 줄이는 대신 정확도를 잃어 곡선의 저에너지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20" w:before="0" w:line="252" w:lineRule="auto"/>
        <w:jc w:val="both"/>
      </w:pPr>
      <w:r>
        <w:rPr>
          <w:rFonts w:ascii="맑은 고딕" w:hAnsi="맑은 고딕" w:eastAsia="맑은 고딕" w:cs="맑은 고딕"/>
          <w:b w:val="0"/>
          <w:i w:val="0"/>
          <w:sz w:val="15"/>
        </w:rPr>
        <w:t>[2] Analog Devices, "MAX78000 User Guide," UG7456, Rev. 1, Mar. 2024.</w:t>
      </w:r>
    </w:p>
    <w:p>
      <w:pPr>
        <w:spacing w:after="20" w:before="0" w:line="252"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