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cs="Times New Roman"/>
          <w:b/>
          <w:color w:val="000000"/>
          <w:sz w:val="30"/>
        </w:rPr>
        <w:t>UNIVERSIDAD TÉCNICA DE MACHALA</w:t>
      </w:r>
    </w:p>
    <w:p>
      <w:pPr>
        <w:spacing w:after="160"/>
        <w:jc w:val="center"/>
      </w:pPr>
      <w:r>
        <w:rPr>
          <w:rFonts w:ascii="Times New Roman" w:hAnsi="Times New Roman" w:eastAsia="Times New Roman" w:cs="Times New Roman"/>
          <w:b/>
          <w:color w:val="000000"/>
          <w:sz w:val="24"/>
        </w:rPr>
        <w:t>FACULTAD DE CIENCIAS AGROPECUARIAS</w:t>
      </w:r>
    </w:p>
    <w:p>
      <w:pPr>
        <w:spacing w:after="160"/>
        <w:jc w:val="center"/>
      </w:pPr>
      <w:r>
        <w:rPr>
          <w:rFonts w:ascii="Times New Roman" w:hAnsi="Times New Roman" w:eastAsia="Times New Roman" w:cs="Times New Roman"/>
          <w:b/>
          <w:color w:val="000000"/>
          <w:sz w:val="24"/>
        </w:rPr>
        <w:t>MEDICINA VETERINARIA</w:t>
      </w:r>
    </w:p>
    <w:p>
      <w:pPr>
        <w:pStyle w:val="Title"/>
        <w:spacing w:before="1300" w:after="300"/>
        <w:jc w:val="center"/>
      </w:pPr>
      <w:r>
        <w:rPr>
          <w:rFonts w:ascii="Times New Roman" w:hAnsi="Times New Roman" w:eastAsia="Times New Roman" w:cs="Times New Roman"/>
          <w:b/>
          <w:color w:val="000000"/>
          <w:sz w:val="42"/>
        </w:rPr>
        <w:t>Fisiopatología del equilibrio ácido base</w:t>
      </w:r>
    </w:p>
    <w:p>
      <w:pPr>
        <w:jc w:val="center"/>
      </w:pPr>
      <w:r>
        <w:rPr>
          <w:rFonts w:ascii="Times New Roman" w:hAnsi="Times New Roman" w:eastAsia="Times New Roman" w:cs="Times New Roman"/>
          <w:color w:val="000000"/>
          <w:sz w:val="26"/>
        </w:rPr>
        <w:t>Revisión bibliográfica con aplicación veterinaria</w:t>
      </w:r>
    </w:p>
    <w:p>
      <w:pPr>
        <w:spacing w:before="560"/>
        <w:jc w:val="center"/>
      </w:pPr>
      <w:r>
        <w:rPr>
          <w:rFonts w:ascii="Times New Roman" w:hAnsi="Times New Roman" w:eastAsia="Times New Roman" w:cs="Times New Roman"/>
          <w:b/>
          <w:color w:val="000000"/>
          <w:sz w:val="24"/>
        </w:rPr>
        <w:t>Asignatura</w:t>
      </w:r>
    </w:p>
    <w:p>
      <w:pPr>
        <w:jc w:val="center"/>
      </w:pPr>
      <w:r>
        <w:rPr>
          <w:rFonts w:ascii="Times New Roman" w:hAnsi="Times New Roman" w:eastAsia="Times New Roman" w:cs="Times New Roman"/>
          <w:color w:val="000000"/>
          <w:sz w:val="24"/>
        </w:rPr>
        <w:t>Fisiopatología</w:t>
      </w:r>
    </w:p>
    <w:p>
      <w:pPr>
        <w:spacing w:before="240"/>
        <w:jc w:val="center"/>
      </w:pPr>
      <w:r>
        <w:rPr>
          <w:rFonts w:ascii="Times New Roman" w:hAnsi="Times New Roman" w:eastAsia="Times New Roman" w:cs="Times New Roman"/>
          <w:b/>
          <w:color w:val="000000"/>
          <w:sz w:val="24"/>
        </w:rPr>
        <w:t>Estudiante</w:t>
      </w:r>
    </w:p>
    <w:p>
      <w:pPr>
        <w:jc w:val="center"/>
      </w:pPr>
      <w:r>
        <w:rPr>
          <w:rFonts w:ascii="Times New Roman" w:hAnsi="Times New Roman" w:eastAsia="Times New Roman" w:cs="Times New Roman"/>
          <w:color w:val="000000"/>
          <w:sz w:val="24"/>
        </w:rPr>
        <w:t>Juan José Bajaña Chuno</w:t>
      </w:r>
    </w:p>
    <w:p>
      <w:pPr>
        <w:spacing w:before="240"/>
        <w:jc w:val="center"/>
      </w:pPr>
      <w:r>
        <w:rPr>
          <w:rFonts w:ascii="Times New Roman" w:hAnsi="Times New Roman" w:eastAsia="Times New Roman" w:cs="Times New Roman"/>
          <w:b/>
          <w:color w:val="000000"/>
          <w:sz w:val="24"/>
        </w:rPr>
        <w:t>Docente</w:t>
      </w:r>
    </w:p>
    <w:p>
      <w:pPr>
        <w:jc w:val="center"/>
      </w:pPr>
      <w:r>
        <w:rPr>
          <w:rFonts w:ascii="Times New Roman" w:hAnsi="Times New Roman" w:eastAsia="Times New Roman" w:cs="Times New Roman"/>
          <w:color w:val="000000"/>
          <w:sz w:val="24"/>
        </w:rPr>
        <w:t>Md. Vet. José Luis Urdiales Arévalo, Ms.</w:t>
      </w:r>
    </w:p>
    <w:p>
      <w:pPr>
        <w:spacing w:before="240"/>
        <w:jc w:val="center"/>
      </w:pPr>
      <w:r>
        <w:rPr>
          <w:rFonts w:ascii="Times New Roman" w:hAnsi="Times New Roman" w:eastAsia="Times New Roman" w:cs="Times New Roman"/>
          <w:b/>
          <w:color w:val="000000"/>
          <w:sz w:val="24"/>
        </w:rPr>
        <w:t>Curso y período académico</w:t>
      </w:r>
    </w:p>
    <w:p>
      <w:pPr>
        <w:jc w:val="center"/>
      </w:pPr>
      <w:r>
        <w:rPr>
          <w:rFonts w:ascii="Times New Roman" w:hAnsi="Times New Roman" w:eastAsia="Times New Roman" w:cs="Times New Roman"/>
          <w:color w:val="000000"/>
          <w:sz w:val="24"/>
        </w:rPr>
        <w:t>Quinto semestre A · 2026-2</w:t>
      </w:r>
    </w:p>
    <w:p>
      <w:pPr>
        <w:spacing w:before="520"/>
        <w:jc w:val="center"/>
      </w:pPr>
      <w:r>
        <w:rPr>
          <w:rFonts w:ascii="Times New Roman" w:hAnsi="Times New Roman" w:eastAsia="Times New Roman" w:cs="Times New Roman"/>
          <w:color w:val="000000"/>
          <w:sz w:val="24"/>
        </w:rPr>
        <w:t>Machala, Ecuador</w:t>
        <w:br/>
        <w:t>17 de octubre de 2026</w:t>
      </w:r>
    </w:p>
    <w:p>
      <w:r>
        <w:br w:type="page"/>
      </w:r>
    </w:p>
    <w:p>
      <w:pPr>
        <w:pStyle w:val="Heading1"/>
      </w:pPr>
      <w:r>
        <w:t>Resumen</w:t>
      </w:r>
    </w:p>
    <w:p>
      <w:r>
        <w:rPr>
          <w:rFonts w:ascii="Times New Roman" w:hAnsi="Times New Roman" w:eastAsia="Times New Roman" w:cs="Times New Roman"/>
          <w:color w:val="000000"/>
          <w:sz w:val="24"/>
        </w:rPr>
        <w:t>El equilibrio ácido base depende de la relación entre producción de ácidos, amortiguación química, ventilación alveolar y función renal. Su alteración aparece en enfermedades digestivas, renales, respiratorias y metabólicas de los animales domésticos. Esta revisión explica los cuatro trastornos primarios, diferencia los procesos de acidosis y alcalosis del pH medido e integra gasometría, electrolitos y contexto clínico. Se desarrolla un caso canino simulado y se analizan la diarrea del ternero y las alteraciones abomasales. La interpretación correcta exige identificar la alteración primaria, valorar la compensación y buscar procesos simultáneos. El tratamiento se orienta a la causa y a la recuperación de la función orgánica, con seguimiento del estado ácido base.</w:t>
      </w:r>
    </w:p>
    <w:p>
      <w:r>
        <w:rPr>
          <w:rFonts w:ascii="Times New Roman" w:hAnsi="Times New Roman" w:eastAsia="Times New Roman" w:cs="Times New Roman"/>
          <w:color w:val="000000"/>
          <w:sz w:val="24"/>
        </w:rPr>
        <w:t>Palabras clave: equilibrio ácido base; acidosis; alcalosis; gasometría; bicarbonato; medicina veterinaria.</w:t>
      </w:r>
    </w:p>
    <w:p>
      <w:pPr>
        <w:pStyle w:val="Heading1"/>
      </w:pPr>
      <w:r>
        <w:t>1 Introducción</w:t>
      </w:r>
    </w:p>
    <w:p>
      <w:r>
        <w:rPr>
          <w:rFonts w:ascii="Times New Roman" w:hAnsi="Times New Roman" w:eastAsia="Times New Roman" w:cs="Times New Roman"/>
          <w:color w:val="000000"/>
          <w:sz w:val="24"/>
        </w:rPr>
        <w:t>La concentración de hidrogeniones condiciona la actividad enzimática y el funcionamiento celular. El metabolismo produce CO₂ y ácidos no volátiles que deben amortiguarse y eliminarse. Los pulmones regulan la eliminación de CO₂, mientras los riñones recuperan bicarbonato y excretan ácido. La integración de ambos órganos sostiene el pH extracelular dentro de límites estrechos. (1)</w:t>
      </w:r>
    </w:p>
    <w:p>
      <w:r>
        <w:rPr>
          <w:rFonts w:ascii="Times New Roman" w:hAnsi="Times New Roman" w:eastAsia="Times New Roman" w:cs="Times New Roman"/>
          <w:color w:val="000000"/>
          <w:sz w:val="24"/>
        </w:rPr>
        <w:t>En la clínica veterinaria, una diarrea, una obstrucción digestiva, una insuficiencia renal o una hipoventilación pueden alterar este equilibrio por mecanismos distintos. La gasometría permite reconocer el componente respiratorio y el resultado sobre el pH; los electrolitos y la bioquímica ayudan a explicar el componente metabólico. Por ello, ningún valor aislado identifica toda la enfermedad. (2)</w:t>
      </w:r>
    </w:p>
    <w:p>
      <w:pPr>
        <w:pStyle w:val="Heading1"/>
      </w:pPr>
      <w:r>
        <w:t>2 Objetivos</w:t>
      </w:r>
    </w:p>
    <w:p>
      <w:pPr>
        <w:pStyle w:val="Heading2"/>
      </w:pPr>
      <w:r>
        <w:t>2.1 Objetivo general</w:t>
      </w:r>
    </w:p>
    <w:p>
      <w:r>
        <w:rPr>
          <w:rFonts w:ascii="Times New Roman" w:hAnsi="Times New Roman" w:eastAsia="Times New Roman" w:cs="Times New Roman"/>
          <w:color w:val="000000"/>
          <w:sz w:val="24"/>
        </w:rPr>
        <w:t>Explicar la fisiopatología de los trastornos del equilibrio ácido base y su interpretación en situaciones clínicas veterinarias.</w:t>
      </w:r>
    </w:p>
    <w:p>
      <w:pPr>
        <w:pStyle w:val="Heading2"/>
      </w:pPr>
      <w:r>
        <w:t>2.2 Objetivos específicos</w:t>
      </w:r>
    </w:p>
    <w:p>
      <w:pPr>
        <w:pStyle w:val="ListBullet"/>
      </w:pPr>
      <w:r>
        <w:rPr>
          <w:rFonts w:ascii="Times New Roman" w:hAnsi="Times New Roman" w:eastAsia="Times New Roman" w:cs="Times New Roman"/>
          <w:color w:val="000000"/>
          <w:sz w:val="24"/>
        </w:rPr>
        <w:t>Describir los sistemas amortiguadores y la regulación respiratoria y renal.</w:t>
      </w:r>
    </w:p>
    <w:p>
      <w:pPr>
        <w:pStyle w:val="ListBullet"/>
      </w:pPr>
      <w:r>
        <w:rPr>
          <w:rFonts w:ascii="Times New Roman" w:hAnsi="Times New Roman" w:eastAsia="Times New Roman" w:cs="Times New Roman"/>
          <w:color w:val="000000"/>
          <w:sz w:val="24"/>
        </w:rPr>
        <w:t>Relacionar las causas de acidosis y alcalosis con sus consecuencias funcionales.</w:t>
      </w:r>
    </w:p>
    <w:p>
      <w:pPr>
        <w:pStyle w:val="ListBullet"/>
      </w:pPr>
      <w:r>
        <w:rPr>
          <w:rFonts w:ascii="Times New Roman" w:hAnsi="Times New Roman" w:eastAsia="Times New Roman" w:cs="Times New Roman"/>
          <w:color w:val="000000"/>
          <w:sz w:val="24"/>
        </w:rPr>
        <w:t>Interpretar pH, PCO₂, bicarbonato y brecha aniónica mediante un caso didáctico.</w:t>
      </w:r>
    </w:p>
    <w:p>
      <w:pPr>
        <w:pStyle w:val="ListBullet"/>
      </w:pPr>
      <w:r>
        <w:rPr>
          <w:rFonts w:ascii="Times New Roman" w:hAnsi="Times New Roman" w:eastAsia="Times New Roman" w:cs="Times New Roman"/>
          <w:color w:val="000000"/>
          <w:sz w:val="24"/>
        </w:rPr>
        <w:t>Comparar mecanismos relevantes en pequeños animales y bovinos.</w:t>
      </w:r>
    </w:p>
    <w:p>
      <w:pPr>
        <w:pStyle w:val="Heading1"/>
      </w:pPr>
      <w:r>
        <w:t>3 Metodología documental</w:t>
      </w:r>
    </w:p>
    <w:p>
      <w:pPr>
        <w:keepLines/>
      </w:pPr>
      <w:r>
        <w:rPr>
          <w:rFonts w:ascii="Times New Roman" w:hAnsi="Times New Roman" w:eastAsia="Times New Roman" w:cs="Times New Roman"/>
          <w:color w:val="000000"/>
          <w:sz w:val="24"/>
        </w:rPr>
        <w:t>Se realizó una revisión narrativa con búsqueda hasta el 17 de octubre de 2026. Se priorizaron fuentes académicas veterinarias en español y se amplió la consulta a publicaciones en inglés cuando aportaron evidencia específica. Se contrastaron fundamentos de fisiología, recursos de patología clínica de Cornell University, el Manual de veterinaria de MSD y artículos sobre bovinos. Se utilizaron términos como equilibrio ácido base, metabolic acidosis, compensation, calf diarrhea y abomasal volvulus. La selección atendió a pertinencia, identificación de autores y disponibilidad de información verificable. El trabajo no constituye una revisión sistemática. Los datos del caso son simulados y no corresponden a un paciente atendido.</w:t>
      </w:r>
    </w:p>
    <w:p>
      <w:pPr>
        <w:pStyle w:val="Heading1"/>
      </w:pPr>
      <w:r>
        <w:t>4 Fundamentos del equilibrio ácido base</w:t>
      </w:r>
    </w:p>
    <w:p>
      <w:pPr>
        <w:pStyle w:val="Heading2"/>
      </w:pPr>
      <w:r>
        <w:t>4.1 Acidemia y acidosis</w:t>
      </w:r>
    </w:p>
    <w:p>
      <w:r>
        <w:rPr>
          <w:rFonts w:ascii="Times New Roman" w:hAnsi="Times New Roman" w:eastAsia="Times New Roman" w:cs="Times New Roman"/>
          <w:color w:val="000000"/>
          <w:sz w:val="24"/>
        </w:rPr>
        <w:t>Acidemia y alcalemia describen un pH sanguíneo inferior o superior al intervalo de referencia. Acidosis y alcalosis designan procesos que tienden a disminuirlo o aumentarlo. Un animal puede presentar dos procesos opuestos y conservar un pH dentro del intervalo. Como orientación fisiológica se suele utilizar 7,35–7,45, pero la interpretación debe ajustarse a especie, edad, muestra y laboratorio. (1)</w:t>
      </w:r>
    </w:p>
    <w:p>
      <w:pPr>
        <w:pStyle w:val="Heading2"/>
      </w:pPr>
      <w:r>
        <w:t>4.2 Sistema bicarbonato y dióxido de carbono</w:t>
      </w:r>
    </w:p>
    <w:p>
      <w:r>
        <w:rPr>
          <w:rFonts w:ascii="Times New Roman" w:hAnsi="Times New Roman" w:eastAsia="Times New Roman" w:cs="Times New Roman"/>
          <w:color w:val="000000"/>
          <w:sz w:val="24"/>
        </w:rPr>
        <w:t>El sistema bicarbonato vincula la química de los líquidos corporales con la función pulmonar y renal. Su reacción reversible permite amortiguar cambios de H⁺. La relación entre bicarbonato y CO₂ disuelto se describe mediante la ecuación de Henderson–Hasselbalch. (3)</w:t>
      </w:r>
    </w:p>
    <w:p>
      <w:pPr>
        <w:spacing w:before="100" w:after="140"/>
        <w:jc w:val="center"/>
      </w:pPr>
      <m:oMath>
        <m:sSub>
          <m:e>
            <m:r>
              <m:t>CO</m:t>
            </m:r>
          </m:e>
          <m:sub>
            <m:r>
              <m:t>2</m:t>
            </m:r>
          </m:sub>
        </m:sSub>
        <m:r>
          <m:t> + </m:t>
        </m:r>
        <m:sSub>
          <m:e>
            <m:r>
              <m:t>H</m:t>
            </m:r>
          </m:e>
          <m:sub>
            <m:r>
              <m:t>2</m:t>
            </m:r>
          </m:sub>
        </m:sSub>
        <m:r>
          <m:t>O ⇌ </m:t>
        </m:r>
        <m:sSub>
          <m:e>
            <m:r>
              <m:t>H</m:t>
            </m:r>
          </m:e>
          <m:sub>
            <m:r>
              <m:t>2</m:t>
            </m:r>
          </m:sub>
        </m:sSub>
        <m:sSub>
          <m:e>
            <m:r>
              <m:t>CO</m:t>
            </m:r>
          </m:e>
          <m:sub>
            <m:r>
              <m:t>3</m:t>
            </m:r>
          </m:sub>
        </m:sSub>
        <m:r>
          <m:t> ⇌ </m:t>
        </m:r>
        <m:sSup>
          <m:e>
            <m:r>
              <m:t>H</m:t>
            </m:r>
          </m:e>
          <m:sup>
            <m:r>
              <m:t>+</m:t>
            </m:r>
          </m:sup>
        </m:sSup>
        <m:r>
          <m:t> + </m:t>
        </m:r>
        <m:sSubSup>
          <m:e>
            <m:r>
              <m:t>HCO</m:t>
            </m:r>
          </m:e>
          <m:sub>
            <m:r>
              <m:t>3</m:t>
            </m:r>
          </m:sub>
          <m:sup>
            <m:r>
              <m:t>−</m:t>
            </m:r>
          </m:sup>
        </m:sSubSup>
      </m:oMath>
    </w:p>
    <w:p>
      <w:pPr>
        <w:spacing w:before="100" w:after="140"/>
        <w:jc w:val="center"/>
      </w:pPr>
      <m:oMath>
        <m:r>
          <m:t>pH = 6,1 + </m:t>
        </m:r>
        <m:sSub>
          <m:e>
            <m:r>
              <m:t>log</m:t>
            </m:r>
          </m:e>
          <m:sub>
            <m:r>
              <m:t>10</m:t>
            </m:r>
          </m:sub>
        </m:sSub>
        <m:r>
          <m:t> (</m:t>
        </m:r>
        <m:f>
          <m:num>
            <m:r>
              <m:t>[</m:t>
            </m:r>
            <m:sSubSup>
              <m:e>
                <m:r>
                  <m:t>HCO</m:t>
                </m:r>
              </m:e>
              <m:sub>
                <m:r>
                  <m:t>3</m:t>
                </m:r>
              </m:sub>
              <m:sup>
                <m:r>
                  <m:t>−</m:t>
                </m:r>
              </m:sup>
            </m:sSubSup>
            <m:r>
              <m:t>]</m:t>
            </m:r>
          </m:num>
          <m:den>
            <m:r>
              <m:t>0,03 × </m:t>
            </m:r>
            <m:sSub>
              <m:e>
                <m:r>
                  <m:t>PCO</m:t>
                </m:r>
              </m:e>
              <m:sub>
                <m:r>
                  <m:t>2</m:t>
                </m:r>
              </m:sub>
            </m:sSub>
          </m:den>
        </m:f>
        <m:r>
          <m:t>)</m:t>
        </m:r>
      </m:oMath>
    </w:p>
    <w:p>
      <w:r>
        <w:rPr>
          <w:rFonts w:ascii="Times New Roman" w:hAnsi="Times New Roman" w:eastAsia="Times New Roman" w:cs="Times New Roman"/>
          <w:color w:val="000000"/>
          <w:sz w:val="24"/>
        </w:rPr>
        <w:t>En esta aproximación a 37 °C, el bicarbonato se expresa en mmol/L y la PCO₂ en mmHg. El factor 0,03 convierte la presión de CO₂ en concentración disuelta. Con HCO₃⁻ de 24 mmol/L y PCO₂ de 40 mmHg, la relación es 24/1,2 = 20 y el pH calculado es 7,40. La relación 20:1 corresponde a bicarbonato/CO₂ disuelto, no a bicarbonato/PCO₂. Las constantes pueden variar con temperatura y condiciones analíticas. (3)</w:t>
      </w:r>
    </w:p>
    <w:p>
      <w:pPr>
        <w:keepNext/>
        <w:jc w:val="center"/>
      </w:pPr>
      <w:r>
        <w:drawing>
          <wp:inline xmlns:a="http://schemas.openxmlformats.org/drawingml/2006/main" xmlns:pic="http://schemas.openxmlformats.org/drawingml/2006/picture">
            <wp:extent cx="5806440" cy="2940255"/>
            <wp:docPr id="1" name="Picture 1" descr="Figura 1. Relación calculada entre PCO₂ y pH para tres concentraciones de bicarbonato. Curvas didácticas a 37 °C basadas en Henderson–Hasselbalch; no representan mediciones ni intervalos universales. Elaboración propia a partir de (3)."/>
            <wp:cNvGraphicFramePr>
              <a:graphicFrameLocks noChangeAspect="1"/>
            </wp:cNvGraphicFramePr>
            <a:graphic>
              <a:graphicData uri="http://schemas.openxmlformats.org/drawingml/2006/picture">
                <pic:pic>
                  <pic:nvPicPr>
                    <pic:cNvPr id="0" name="curve.png"/>
                    <pic:cNvPicPr/>
                  </pic:nvPicPr>
                  <pic:blipFill>
                    <a:blip r:embed="rId13"/>
                    <a:stretch>
                      <a:fillRect/>
                    </a:stretch>
                  </pic:blipFill>
                  <pic:spPr>
                    <a:xfrm>
                      <a:off x="0" y="0"/>
                      <a:ext cx="5806440" cy="2940255"/>
                    </a:xfrm>
                    <a:prstGeom prst="rect"/>
                  </pic:spPr>
                </pic:pic>
              </a:graphicData>
            </a:graphic>
          </wp:inline>
        </w:drawing>
      </w:r>
    </w:p>
    <w:p>
      <w:pPr>
        <w:spacing w:before="100" w:after="180"/>
        <w:jc w:val="left"/>
      </w:pPr>
      <w:r>
        <w:rPr>
          <w:rFonts w:ascii="Times New Roman" w:hAnsi="Times New Roman" w:eastAsia="Times New Roman" w:cs="Times New Roman"/>
          <w:color w:val="000000"/>
          <w:sz w:val="20"/>
        </w:rPr>
        <w:t>Figura 1. Relación calculada entre PCO₂ y pH para tres concentraciones de bicarbonato. Curvas didácticas a 37 °C basadas en Henderson–Hasselbalch; no representan mediciones ni intervalos universales. Elaboración propia a partir de (3).</w:t>
      </w:r>
    </w:p>
    <w:p>
      <w:pPr>
        <w:pStyle w:val="Heading2"/>
      </w:pPr>
      <w:r>
        <w:t>4.3 Amortiguación y respuesta orgánica</w:t>
      </w:r>
    </w:p>
    <w:p>
      <w:r>
        <w:rPr>
          <w:rFonts w:ascii="Times New Roman" w:hAnsi="Times New Roman" w:eastAsia="Times New Roman" w:cs="Times New Roman"/>
          <w:color w:val="000000"/>
          <w:sz w:val="24"/>
        </w:rPr>
        <w:t>El bicarbonato participa principalmente en el espacio extracelular. Las proteínas, la hemoglobina y los fosfatos también aceptan o liberan H⁺. Esta amortiguación limita cambios iniciales, pero no equivale a eliminar la carga ácida del organismo. La ventilación y la excreción renal completan la regulación. (1)</w:t>
      </w:r>
    </w:p>
    <w:p>
      <w:r>
        <w:rPr>
          <w:rFonts w:ascii="Times New Roman" w:hAnsi="Times New Roman" w:eastAsia="Times New Roman" w:cs="Times New Roman"/>
          <w:color w:val="000000"/>
          <w:sz w:val="24"/>
        </w:rPr>
        <w:t>En el riñón conviene distinguir dos funciones. La recuperación del bicarbonato filtrado evita perder una base ya existente. La excreción neta de ácido, como amonio y ácido titulable, incorpora bicarbonato nuevo a la sangre. La amoniogénesis utiliza glutamina y permite aumentar la eliminación de ácido cuando la carga supera la basal. La disfunción tubular puede comprometer estos mecanismos. (4)</w:t>
      </w:r>
    </w:p>
    <w:p>
      <w:pPr>
        <w:keepNext/>
        <w:spacing w:before="100" w:after="180"/>
        <w:jc w:val="left"/>
      </w:pPr>
      <w:r>
        <w:rPr>
          <w:rFonts w:ascii="Times New Roman" w:hAnsi="Times New Roman" w:eastAsia="Times New Roman" w:cs="Times New Roman"/>
          <w:color w:val="000000"/>
          <w:sz w:val="20"/>
        </w:rPr>
        <w:t>Tabla 1. Respuesta de los principales sistemas reguladores. Síntesis de (4,5).</w:t>
      </w:r>
    </w:p>
    <w:tbl>
      <w:tblPr>
        <w:tblW w:type="auto" w:w="0"/>
        <w:jc w:val="center"/>
        <w:tblLayout w:type="fixed"/>
        <w:tblLook w:firstColumn="1" w:firstRow="1" w:lastColumn="0" w:lastRow="0" w:noHBand="0" w:noVBand="1" w:val="04A0"/>
      </w:tblPr>
      <w:tblGrid>
        <w:gridCol w:w="1872"/>
        <w:gridCol w:w="4248"/>
        <w:gridCol w:w="3240"/>
      </w:tblGrid>
      <w:tr>
        <w:trPr>
          <w:cantSplit/>
          <w:tblHeader/>
        </w:trPr>
        <w:tc>
          <w:tcPr>
            <w:tcW w:type="dxa" w:w="1872"/>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shd w:fill="E6E6E6"/>
          </w:tcPr>
          <w:p>
            <w:pPr>
              <w:keepNext/>
              <w:spacing w:line="252" w:lineRule="auto" w:after="20"/>
              <w:jc w:val="left"/>
            </w:pPr>
            <w:r>
              <w:rPr>
                <w:rFonts w:ascii="Times New Roman" w:hAnsi="Times New Roman" w:eastAsia="Times New Roman" w:cs="Times New Roman"/>
                <w:b/>
                <w:color w:val="000000"/>
                <w:sz w:val="24"/>
              </w:rPr>
              <w:t>Sistema</w:t>
            </w:r>
          </w:p>
        </w:tc>
        <w:tc>
          <w:tcPr>
            <w:tcW w:type="dxa" w:w="4248"/>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shd w:fill="E6E6E6"/>
          </w:tcPr>
          <w:p>
            <w:pPr>
              <w:keepNext/>
              <w:spacing w:line="252" w:lineRule="auto" w:after="20"/>
              <w:jc w:val="left"/>
            </w:pPr>
            <w:r>
              <w:rPr>
                <w:rFonts w:ascii="Times New Roman" w:hAnsi="Times New Roman" w:eastAsia="Times New Roman" w:cs="Times New Roman"/>
                <w:b/>
                <w:color w:val="000000"/>
                <w:sz w:val="24"/>
              </w:rPr>
              <w:t>Acción principal</w:t>
            </w:r>
          </w:p>
        </w:tc>
        <w:tc>
          <w:tcPr>
            <w:tcW w:type="dxa" w:w="324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shd w:fill="E6E6E6"/>
          </w:tcPr>
          <w:p>
            <w:pPr>
              <w:keepNext/>
              <w:spacing w:line="252" w:lineRule="auto" w:after="20"/>
              <w:jc w:val="left"/>
            </w:pPr>
            <w:r>
              <w:rPr>
                <w:rFonts w:ascii="Times New Roman" w:hAnsi="Times New Roman" w:eastAsia="Times New Roman" w:cs="Times New Roman"/>
                <w:b/>
                <w:color w:val="000000"/>
                <w:sz w:val="24"/>
              </w:rPr>
              <w:t>Tiempo orientativo</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Amortiguadores</w:t>
            </w:r>
          </w:p>
        </w:tc>
        <w:tc>
          <w:tcPr>
            <w:tcW w:type="dxa" w:w="4248"/>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Captan o liberan H⁺ y limitan el cambio inicial del pH.</w:t>
            </w:r>
          </w:p>
        </w:tc>
        <w:tc>
          <w:tcPr>
            <w:tcW w:type="dxa" w:w="324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Inmediato; parte de la respuesta celular tarda horas.</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Pulmones</w:t>
            </w:r>
          </w:p>
        </w:tc>
        <w:tc>
          <w:tcPr>
            <w:tcW w:type="dxa" w:w="4248"/>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Modifican la ventilación alveolar y la eliminación de CO₂.</w:t>
            </w:r>
          </w:p>
        </w:tc>
        <w:tc>
          <w:tcPr>
            <w:tcW w:type="dxa" w:w="324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Minutos a horas.</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line="252" w:lineRule="auto" w:after="20"/>
              <w:jc w:val="left"/>
            </w:pPr>
            <w:r>
              <w:rPr>
                <w:rFonts w:ascii="Times New Roman" w:hAnsi="Times New Roman" w:eastAsia="Times New Roman" w:cs="Times New Roman"/>
                <w:b w:val="0"/>
                <w:color w:val="000000"/>
                <w:sz w:val="24"/>
              </w:rPr>
              <w:t>Riñones</w:t>
            </w:r>
          </w:p>
        </w:tc>
        <w:tc>
          <w:tcPr>
            <w:tcW w:type="dxa" w:w="4248"/>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line="252" w:lineRule="auto" w:after="20"/>
              <w:jc w:val="left"/>
            </w:pPr>
            <w:r>
              <w:rPr>
                <w:rFonts w:ascii="Times New Roman" w:hAnsi="Times New Roman" w:eastAsia="Times New Roman" w:cs="Times New Roman"/>
                <w:b w:val="0"/>
                <w:color w:val="000000"/>
                <w:sz w:val="24"/>
              </w:rPr>
              <w:t>Recuperan HCO₃⁻ y ajustan la excreción de ácido o base.</w:t>
            </w:r>
          </w:p>
        </w:tc>
        <w:tc>
          <w:tcPr>
            <w:tcW w:type="dxa" w:w="324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line="252" w:lineRule="auto" w:after="20"/>
              <w:jc w:val="left"/>
            </w:pPr>
            <w:r>
              <w:rPr>
                <w:rFonts w:ascii="Times New Roman" w:hAnsi="Times New Roman" w:eastAsia="Times New Roman" w:cs="Times New Roman"/>
                <w:b w:val="0"/>
                <w:color w:val="000000"/>
                <w:sz w:val="24"/>
              </w:rPr>
              <w:t>Inicio en horas; adaptación completa en varios días.</w:t>
            </w:r>
          </w:p>
        </w:tc>
      </w:tr>
    </w:tbl>
    <w:p>
      <w:pPr>
        <w:spacing w:after="20"/>
      </w:pPr>
    </w:p>
    <w:p>
      <w:pPr>
        <w:pStyle w:val="Heading1"/>
      </w:pPr>
      <w:r>
        <w:t>5 Trastornos primarios y consecuencias</w:t>
      </w:r>
    </w:p>
    <w:p>
      <w:r>
        <w:rPr>
          <w:rFonts w:ascii="Times New Roman" w:hAnsi="Times New Roman" w:eastAsia="Times New Roman" w:cs="Times New Roman"/>
          <w:color w:val="000000"/>
          <w:sz w:val="24"/>
        </w:rPr>
        <w:t>La clasificación tradicional combina el sentido del cambio del pH con la variable que inicia el trastorno. Las respuestas compensadoras se valoran después de identificar esa alteración primaria. (6)</w:t>
      </w:r>
    </w:p>
    <w:p>
      <w:pPr>
        <w:keepNext/>
        <w:spacing w:before="100" w:after="180"/>
        <w:jc w:val="left"/>
      </w:pPr>
      <w:r>
        <w:rPr>
          <w:rFonts w:ascii="Times New Roman" w:hAnsi="Times New Roman" w:eastAsia="Times New Roman" w:cs="Times New Roman"/>
          <w:color w:val="000000"/>
          <w:sz w:val="20"/>
        </w:rPr>
        <w:t>Tabla 2. Patrones esperados en trastornos simples. Las flechas indican tendencias respecto del valor basal. Basado en (5,6).</w:t>
      </w:r>
    </w:p>
    <w:tbl>
      <w:tblPr>
        <w:tblW w:type="auto" w:w="0"/>
        <w:jc w:val="center"/>
        <w:tblLayout w:type="fixed"/>
        <w:tblLook w:firstColumn="1" w:firstRow="1" w:lastColumn="0" w:lastRow="0" w:noHBand="0" w:noVBand="1" w:val="04A0"/>
      </w:tblPr>
      <w:tblGrid>
        <w:gridCol w:w="2880"/>
        <w:gridCol w:w="1728"/>
        <w:gridCol w:w="2160"/>
        <w:gridCol w:w="2592"/>
      </w:tblGrid>
      <w:tr>
        <w:trPr>
          <w:cantSplit/>
          <w:tblHeader/>
        </w:trPr>
        <w:tc>
          <w:tcPr>
            <w:tcW w:type="dxa" w:w="288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shd w:fill="E6E6E6"/>
          </w:tcPr>
          <w:p>
            <w:pPr>
              <w:keepNext/>
              <w:spacing w:line="252" w:lineRule="auto" w:after="20"/>
              <w:jc w:val="left"/>
            </w:pPr>
            <w:r>
              <w:rPr>
                <w:rFonts w:ascii="Times New Roman" w:hAnsi="Times New Roman" w:eastAsia="Times New Roman" w:cs="Times New Roman"/>
                <w:b/>
                <w:color w:val="000000"/>
                <w:sz w:val="24"/>
              </w:rPr>
              <w:t>Trastorno</w:t>
            </w:r>
          </w:p>
        </w:tc>
        <w:tc>
          <w:tcPr>
            <w:tcW w:type="dxa" w:w="1728"/>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shd w:fill="E6E6E6"/>
          </w:tcPr>
          <w:p>
            <w:pPr>
              <w:keepNext/>
              <w:spacing w:line="252" w:lineRule="auto" w:after="20"/>
              <w:jc w:val="left"/>
            </w:pPr>
            <w:r>
              <w:rPr>
                <w:rFonts w:ascii="Times New Roman" w:hAnsi="Times New Roman" w:eastAsia="Times New Roman" w:cs="Times New Roman"/>
                <w:b/>
                <w:color w:val="000000"/>
                <w:sz w:val="24"/>
              </w:rPr>
              <w:t>Tendencia del pH</w:t>
            </w:r>
          </w:p>
        </w:tc>
        <w:tc>
          <w:tcPr>
            <w:tcW w:type="dxa" w:w="216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shd w:fill="E6E6E6"/>
          </w:tcPr>
          <w:p>
            <w:pPr>
              <w:keepNext/>
              <w:spacing w:line="252" w:lineRule="auto" w:after="20"/>
              <w:jc w:val="left"/>
            </w:pPr>
            <w:r>
              <w:rPr>
                <w:rFonts w:ascii="Times New Roman" w:hAnsi="Times New Roman" w:eastAsia="Times New Roman" w:cs="Times New Roman"/>
                <w:b/>
                <w:color w:val="000000"/>
                <w:sz w:val="24"/>
              </w:rPr>
              <w:t>Cambio primario</w:t>
            </w:r>
          </w:p>
        </w:tc>
        <w:tc>
          <w:tcPr>
            <w:tcW w:type="dxa" w:w="2592"/>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shd w:fill="E6E6E6"/>
          </w:tcPr>
          <w:p>
            <w:pPr>
              <w:keepNext/>
              <w:spacing w:line="252" w:lineRule="auto" w:after="20"/>
              <w:jc w:val="left"/>
            </w:pPr>
            <w:r>
              <w:rPr>
                <w:rFonts w:ascii="Times New Roman" w:hAnsi="Times New Roman" w:eastAsia="Times New Roman" w:cs="Times New Roman"/>
                <w:b/>
                <w:color w:val="000000"/>
                <w:sz w:val="24"/>
              </w:rPr>
              <w:t>Respuesta esperada</w:t>
            </w:r>
          </w:p>
        </w:tc>
      </w:tr>
      <w:tr>
        <w:trPr>
          <w:cantSplit/>
        </w:trPr>
        <w:tc>
          <w:tcPr>
            <w:tcW w:type="dxa" w:w="288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Acidosis metabólica</w:t>
            </w:r>
          </w:p>
        </w:tc>
        <w:tc>
          <w:tcPr>
            <w:tcW w:type="dxa" w:w="1728"/>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w:t>
            </w:r>
          </w:p>
        </w:tc>
        <w:tc>
          <w:tcPr>
            <w:tcW w:type="dxa" w:w="216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HCO₃⁻ ↓</w:t>
            </w:r>
          </w:p>
        </w:tc>
        <w:tc>
          <w:tcPr>
            <w:tcW w:type="dxa" w:w="2592"/>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PCO₂ ↓</w:t>
            </w:r>
          </w:p>
        </w:tc>
      </w:tr>
      <w:tr>
        <w:trPr>
          <w:cantSplit/>
        </w:trPr>
        <w:tc>
          <w:tcPr>
            <w:tcW w:type="dxa" w:w="288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Alcalosis metabólica</w:t>
            </w:r>
          </w:p>
        </w:tc>
        <w:tc>
          <w:tcPr>
            <w:tcW w:type="dxa" w:w="1728"/>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w:t>
            </w:r>
          </w:p>
        </w:tc>
        <w:tc>
          <w:tcPr>
            <w:tcW w:type="dxa" w:w="216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HCO₃⁻ ↑</w:t>
            </w:r>
          </w:p>
        </w:tc>
        <w:tc>
          <w:tcPr>
            <w:tcW w:type="dxa" w:w="2592"/>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PCO₂ ↑</w:t>
            </w:r>
          </w:p>
        </w:tc>
      </w:tr>
      <w:tr>
        <w:trPr>
          <w:cantSplit/>
        </w:trPr>
        <w:tc>
          <w:tcPr>
            <w:tcW w:type="dxa" w:w="288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Acidosis respiratoria</w:t>
            </w:r>
          </w:p>
        </w:tc>
        <w:tc>
          <w:tcPr>
            <w:tcW w:type="dxa" w:w="1728"/>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w:t>
            </w:r>
          </w:p>
        </w:tc>
        <w:tc>
          <w:tcPr>
            <w:tcW w:type="dxa" w:w="216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PCO₂ ↑</w:t>
            </w:r>
          </w:p>
        </w:tc>
        <w:tc>
          <w:tcPr>
            <w:tcW w:type="dxa" w:w="2592"/>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HCO₃⁻ ↑</w:t>
            </w:r>
          </w:p>
        </w:tc>
      </w:tr>
      <w:tr>
        <w:trPr>
          <w:cantSplit/>
        </w:trPr>
        <w:tc>
          <w:tcPr>
            <w:tcW w:type="dxa" w:w="288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line="252" w:lineRule="auto" w:after="20"/>
              <w:jc w:val="left"/>
            </w:pPr>
            <w:r>
              <w:rPr>
                <w:rFonts w:ascii="Times New Roman" w:hAnsi="Times New Roman" w:eastAsia="Times New Roman" w:cs="Times New Roman"/>
                <w:b w:val="0"/>
                <w:color w:val="000000"/>
                <w:sz w:val="24"/>
              </w:rPr>
              <w:t>Alcalosis respiratoria</w:t>
            </w:r>
          </w:p>
        </w:tc>
        <w:tc>
          <w:tcPr>
            <w:tcW w:type="dxa" w:w="1728"/>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line="252" w:lineRule="auto" w:after="20"/>
              <w:jc w:val="left"/>
            </w:pPr>
            <w:r>
              <w:rPr>
                <w:rFonts w:ascii="Times New Roman" w:hAnsi="Times New Roman" w:eastAsia="Times New Roman" w:cs="Times New Roman"/>
                <w:b w:val="0"/>
                <w:color w:val="000000"/>
                <w:sz w:val="24"/>
              </w:rPr>
              <w:t>↑</w:t>
            </w:r>
          </w:p>
        </w:tc>
        <w:tc>
          <w:tcPr>
            <w:tcW w:type="dxa" w:w="2160"/>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line="252" w:lineRule="auto" w:after="20"/>
              <w:jc w:val="left"/>
            </w:pPr>
            <w:r>
              <w:rPr>
                <w:rFonts w:ascii="Times New Roman" w:hAnsi="Times New Roman" w:eastAsia="Times New Roman" w:cs="Times New Roman"/>
                <w:b w:val="0"/>
                <w:color w:val="000000"/>
                <w:sz w:val="24"/>
              </w:rPr>
              <w:t>PCO₂ ↓</w:t>
            </w:r>
          </w:p>
        </w:tc>
        <w:tc>
          <w:tcPr>
            <w:tcW w:type="dxa" w:w="2592"/>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line="252" w:lineRule="auto" w:after="20"/>
              <w:jc w:val="left"/>
            </w:pPr>
            <w:r>
              <w:rPr>
                <w:rFonts w:ascii="Times New Roman" w:hAnsi="Times New Roman" w:eastAsia="Times New Roman" w:cs="Times New Roman"/>
                <w:b w:val="0"/>
                <w:color w:val="000000"/>
                <w:sz w:val="24"/>
              </w:rPr>
              <w:t>HCO₃⁻ ↓</w:t>
            </w:r>
          </w:p>
        </w:tc>
      </w:tr>
    </w:tbl>
    <w:p>
      <w:pPr>
        <w:spacing w:after="20"/>
      </w:pPr>
    </w:p>
    <w:p>
      <w:pPr>
        <w:pStyle w:val="Heading2"/>
      </w:pPr>
      <w:r>
        <w:t>5.1 Acidosis metabólica</w:t>
      </w:r>
    </w:p>
    <w:p>
      <w:r>
        <w:rPr>
          <w:rFonts w:ascii="Times New Roman" w:hAnsi="Times New Roman" w:eastAsia="Times New Roman" w:cs="Times New Roman"/>
          <w:color w:val="000000"/>
          <w:sz w:val="24"/>
        </w:rPr>
        <w:t>Aparece por acumulación de ácidos, eliminación insuficiente de estos o pérdida de bicarbonato. La producción o retención de ácidos orgánicos consume bicarbonato durante la amortiguación. Entre los contextos relevantes están la hipoperfusión, la cetoacidosis y la enfermedad renal avanzada. La pérdida gastrointestinal o renal de bicarbonato puede acompañarse de aumento relativo de cloruro. Un HCO₃⁻ bajo también puede reflejar compensación de una alcalosis respiratoria, por lo que debe interpretarse junto con pH y PCO₂. (6,7)</w:t>
      </w:r>
    </w:p>
    <w:p>
      <w:pPr>
        <w:pStyle w:val="Heading2"/>
      </w:pPr>
      <w:r>
        <w:t>5.2 Alcalosis metabólica</w:t>
      </w:r>
    </w:p>
    <w:p>
      <w:r>
        <w:rPr>
          <w:rFonts w:ascii="Times New Roman" w:hAnsi="Times New Roman" w:eastAsia="Times New Roman" w:cs="Times New Roman"/>
          <w:color w:val="000000"/>
          <w:sz w:val="24"/>
        </w:rPr>
        <w:t>La pérdida de contenido gástrico rico en HCl o su secuestro digestivo favorecen el aumento de bicarbonato. La hipovolemia, la depleción de cloruro y de potasio pueden mantener el trastorno al limitar la excreción renal de bicarbonato. En este contexto puede aparecer aciduria paradójica: orina ácida pese a alcalosis sistémica, porque el riñón prioriza conservar sodio y volumen mientras continúa excretando H⁺. (4,7)</w:t>
      </w:r>
    </w:p>
    <w:p>
      <w:pPr>
        <w:pStyle w:val="Heading2"/>
      </w:pPr>
      <w:r>
        <w:t>5.3 Acidosis respiratoria</w:t>
      </w:r>
    </w:p>
    <w:p>
      <w:r>
        <w:rPr>
          <w:rFonts w:ascii="Times New Roman" w:hAnsi="Times New Roman" w:eastAsia="Times New Roman" w:cs="Times New Roman"/>
          <w:color w:val="000000"/>
          <w:sz w:val="24"/>
        </w:rPr>
        <w:t>La ventilación alveolar insuficiente retiene CO₂ y aumenta la PCO₂. Puede ocurrir durante anestesia con ventilación inadecuada, obstrucción de vías respiratorias o debilidad neuromuscular. La neumonía no implica automáticamente hipercapnia: esta suele requerir afectación grave o fatiga ventilatoria. Si el trastorno persiste, el riñón aumenta la retención y generación de bicarbonato. (5,6)</w:t>
      </w:r>
    </w:p>
    <w:p>
      <w:pPr>
        <w:pStyle w:val="Heading2"/>
      </w:pPr>
      <w:r>
        <w:t>5.4 Alcalosis respiratoria</w:t>
      </w:r>
    </w:p>
    <w:p>
      <w:r>
        <w:rPr>
          <w:rFonts w:ascii="Times New Roman" w:hAnsi="Times New Roman" w:eastAsia="Times New Roman" w:cs="Times New Roman"/>
          <w:color w:val="000000"/>
          <w:sz w:val="24"/>
        </w:rPr>
        <w:t>La ventilación alveolar excesiva respecto de la producción de CO₂ disminuye la PCO₂. Puede acompañar dolor, excitación, hipoxemia o estimulación respiratoria sistémica. La taquipnea aislada no demuestra hiperventilación efectiva; se necesita valorar la gasometría. Con el tiempo disminuye la conservación renal de bicarbonato. (6)</w:t>
      </w:r>
    </w:p>
    <w:p>
      <w:pPr>
        <w:pStyle w:val="Heading2"/>
      </w:pPr>
      <w:r>
        <w:t>5.5 Consecuencias funcionales</w:t>
      </w:r>
    </w:p>
    <w:p>
      <w:r>
        <w:rPr>
          <w:rFonts w:ascii="Times New Roman" w:hAnsi="Times New Roman" w:eastAsia="Times New Roman" w:cs="Times New Roman"/>
          <w:color w:val="000000"/>
          <w:sz w:val="24"/>
        </w:rPr>
        <w:t>La acidemia intensa puede reducir el rendimiento cardiovascular y alterar el estado mental. La alcalemia favorece cambios en la excitabilidad neuromuscular y puede disminuir el calcio ionizado por mayor unión a proteínas. Estas alteraciones son funcionales y sistémicas; no producen una lesión macroscópica única que identifique el trastorno. La lesión de base depende de la enfermedad causal. (6)</w:t>
      </w:r>
    </w:p>
    <w:p>
      <w:r>
        <w:rPr>
          <w:rFonts w:ascii="Times New Roman" w:hAnsi="Times New Roman" w:eastAsia="Times New Roman" w:cs="Times New Roman"/>
          <w:color w:val="000000"/>
          <w:sz w:val="24"/>
        </w:rPr>
        <w:t>El potasio exige evaluación independiente. La redistribución entre células y plasma puede modificar su concentración, pero las pérdidas digestivas, la función renal, la insulina y la composición del ácido también influyen. Por ello, una acidosis no garantiza hiperpotasemia ni un valor plasmático conservado excluye déficit corporal de potasio. (8)</w:t>
      </w:r>
    </w:p>
    <w:p>
      <w:pPr>
        <w:pStyle w:val="Heading1"/>
      </w:pPr>
      <w:r>
        <w:t>6 Compensación y trastornos mixtos</w:t>
      </w:r>
    </w:p>
    <w:p>
      <w:r>
        <w:rPr>
          <w:rFonts w:ascii="Times New Roman" w:hAnsi="Times New Roman" w:eastAsia="Times New Roman" w:cs="Times New Roman"/>
          <w:color w:val="000000"/>
          <w:sz w:val="24"/>
        </w:rPr>
        <w:t>La compensación atenúa el cambio de pH y requiere tiempo y órganos funcionales. En un trastorno metabólico actúa la ventilación; en uno respiratorio predomina la adaptación renal. Generalmente no normaliza por completo el pH ni lo sobrecorrige. Existen excepciones en procesos respiratorios crónicos caninos, por lo que un pH normal no basta para declarar recuperación. (1,5)</w:t>
      </w:r>
    </w:p>
    <w:p>
      <w:r>
        <w:rPr>
          <w:rFonts w:ascii="Times New Roman" w:hAnsi="Times New Roman" w:eastAsia="Times New Roman" w:cs="Times New Roman"/>
          <w:color w:val="000000"/>
          <w:sz w:val="24"/>
        </w:rPr>
        <w:t>Un trastorno mixto contiene más de un proceso primario. Por ejemplo, la combinación de bicarbonato bajo con PCO₂ alta indica que ambos componentes favorecen acidemia. En cambio, bicarbonato bajo y PCO₂ baja pueden corresponder a compensación apropiada o a una alcalosis respiratoria adicional. La magnitud del cambio, su evolución y la historia clínica permiten diferenciarlos. (2,6)</w:t>
      </w:r>
    </w:p>
    <w:p>
      <w:pPr>
        <w:pStyle w:val="Heading1"/>
      </w:pPr>
      <w:r>
        <w:t>7 Interpretación del equilibrio ácido base</w:t>
      </w:r>
    </w:p>
    <w:p>
      <w:pPr>
        <w:pStyle w:val="Heading2"/>
      </w:pPr>
      <w:r>
        <w:t>7.1 Evaluación ordenada</w:t>
      </w:r>
    </w:p>
    <w:p>
      <w:pPr>
        <w:ind w:left="259" w:hanging="259"/>
      </w:pPr>
      <w:r>
        <w:rPr>
          <w:rFonts w:ascii="Times New Roman" w:hAnsi="Times New Roman" w:eastAsia="Times New Roman" w:cs="Times New Roman"/>
          <w:color w:val="000000"/>
          <w:sz w:val="24"/>
        </w:rPr>
        <w:t>1. Verificar la muestra y el contexto. Registrar especie, origen arterial o venoso, oxigenoterapia, ventilación y tratamiento previo. Evitar aire y demora en el análisis.</w:t>
      </w:r>
    </w:p>
    <w:p>
      <w:pPr>
        <w:ind w:left="259" w:hanging="259"/>
      </w:pPr>
      <w:r>
        <w:rPr>
          <w:rFonts w:ascii="Times New Roman" w:hAnsi="Times New Roman" w:eastAsia="Times New Roman" w:cs="Times New Roman"/>
          <w:color w:val="000000"/>
          <w:sz w:val="24"/>
        </w:rPr>
        <w:t>2. Evaluar el pH con el intervalo del laboratorio. Reconocer acidemia, alcalemia o un resultado dentro del intervalo.</w:t>
      </w:r>
    </w:p>
    <w:p>
      <w:pPr>
        <w:ind w:left="259" w:hanging="259"/>
      </w:pPr>
      <w:r>
        <w:rPr>
          <w:rFonts w:ascii="Times New Roman" w:hAnsi="Times New Roman" w:eastAsia="Times New Roman" w:cs="Times New Roman"/>
          <w:color w:val="000000"/>
          <w:sz w:val="24"/>
        </w:rPr>
        <w:t>3. Examinar PCO₂ y HCO₃⁻. Determinar qué cambio explica el sentido del pH y valorar exceso de base.</w:t>
      </w:r>
    </w:p>
    <w:p>
      <w:pPr>
        <w:ind w:left="259" w:hanging="259"/>
      </w:pPr>
      <w:r>
        <w:rPr>
          <w:rFonts w:ascii="Times New Roman" w:hAnsi="Times New Roman" w:eastAsia="Times New Roman" w:cs="Times New Roman"/>
          <w:color w:val="000000"/>
          <w:sz w:val="24"/>
        </w:rPr>
        <w:t>4. Valorar la compensación con criterios apropiados para especie y duración del proceso. Buscar alteraciones primarias adicionales.</w:t>
      </w:r>
    </w:p>
    <w:p>
      <w:pPr>
        <w:ind w:left="259" w:hanging="259"/>
      </w:pPr>
      <w:r>
        <w:rPr>
          <w:rFonts w:ascii="Times New Roman" w:hAnsi="Times New Roman" w:eastAsia="Times New Roman" w:cs="Times New Roman"/>
          <w:color w:val="000000"/>
          <w:sz w:val="24"/>
        </w:rPr>
        <w:t>5. Integrar Na⁺, K⁺, Cl⁻, albúmina, lactato, glucosa, cetonas y función renal según el caso. Comparar resultados seriados. (2)</w:t>
      </w:r>
    </w:p>
    <w:p>
      <w:r>
        <w:rPr>
          <w:rFonts w:ascii="Times New Roman" w:hAnsi="Times New Roman" w:eastAsia="Times New Roman" w:cs="Times New Roman"/>
          <w:color w:val="000000"/>
          <w:sz w:val="24"/>
        </w:rPr>
        <w:t>La gasometría mide pH y PCO₂; habitualmente calcula HCO₃⁻ y exceso de base. Este último resume el componente metabólico bajo condiciones estandarizadas. La muestra venosa puede servir para valorar tendencias metabólicas, pero sus valores no son intercambiables con los arteriales. La oxigenación pulmonar requiere evaluación arterial u otros métodos adecuados; una PO₂ venosa no sustituye a la PaO₂. (2)</w:t>
      </w:r>
    </w:p>
    <w:p>
      <w:pPr>
        <w:pStyle w:val="Heading2"/>
      </w:pPr>
      <w:r>
        <w:t>7.2 Brecha aniónica</w:t>
      </w:r>
    </w:p>
    <w:p>
      <w:pPr>
        <w:spacing w:before="100" w:after="140"/>
        <w:jc w:val="center"/>
      </w:pPr>
      <m:oMath>
        <m:r>
          <m:t>BA = ([</m:t>
        </m:r>
        <m:sSup>
          <m:e>
            <m:r>
              <m:t>Na</m:t>
            </m:r>
          </m:e>
          <m:sup>
            <m:r>
              <m:t>+</m:t>
            </m:r>
          </m:sup>
        </m:sSup>
        <m:r>
          <m:t>] + [</m:t>
        </m:r>
        <m:sSup>
          <m:e>
            <m:r>
              <m:t>K</m:t>
            </m:r>
          </m:e>
          <m:sup>
            <m:r>
              <m:t>+</m:t>
            </m:r>
          </m:sup>
        </m:sSup>
        <m:r>
          <m:t>]) − ([</m:t>
        </m:r>
        <m:sSup>
          <m:e>
            <m:r>
              <m:t>Cl</m:t>
            </m:r>
          </m:e>
          <m:sup>
            <m:r>
              <m:t>−</m:t>
            </m:r>
          </m:sup>
        </m:sSup>
        <m:r>
          <m:t>] + [</m:t>
        </m:r>
        <m:sSubSup>
          <m:e>
            <m:r>
              <m:t>HCO</m:t>
            </m:r>
          </m:e>
          <m:sub>
            <m:r>
              <m:t>3</m:t>
            </m:r>
          </m:sub>
          <m:sup>
            <m:r>
              <m:t>−</m:t>
            </m:r>
          </m:sup>
        </m:sSubSup>
        <m:r>
          <m:t>])</m:t>
        </m:r>
      </m:oMath>
    </w:p>
    <w:p>
      <w:r>
        <w:rPr>
          <w:rFonts w:ascii="Times New Roman" w:hAnsi="Times New Roman" w:eastAsia="Times New Roman" w:cs="Times New Roman"/>
          <w:color w:val="000000"/>
          <w:sz w:val="24"/>
        </w:rPr>
        <w:t>La brecha aniónica estima la diferencia entre los iones medidos y orienta sobre aniones no incluidos en el panel. Una elevación puede acompañar acumulación de lactato, cetoaniones, compuestos urémicos o metabolitos tóxicos. Una acidosis hiperclorémica puede conservar una brecha normal. Si el laboratorio omite K⁺, debe utilizarse el intervalo correspondiente a esa fórmula. La hipoalbuminemia puede enmascarar una elevación. La brecha no identifica el ácido ni sustituye la medición de lactato. (9)</w:t>
      </w:r>
    </w:p>
    <w:p>
      <w:pPr>
        <w:pStyle w:val="Heading2"/>
      </w:pPr>
      <w:r>
        <w:t>7.3 Aporte del modelo de iones fuertes</w:t>
      </w:r>
    </w:p>
    <w:p>
      <w:r>
        <w:rPr>
          <w:rFonts w:ascii="Times New Roman" w:hAnsi="Times New Roman" w:eastAsia="Times New Roman" w:cs="Times New Roman"/>
          <w:color w:val="000000"/>
          <w:sz w:val="24"/>
        </w:rPr>
        <w:t>El enfoque fisicoquímico considera PCO₂, diferencia de iones fuertes y concentración de ácidos débiles, especialmente proteínas y fosfatos. Permite entender por qué cambios relativos de cloruro o albúmina modifican el estado ácido base. Complementa la lectura tradicional cuando varios mecanismos actúan a la vez, sin reemplazar la evaluación clínica. (3)</w:t>
      </w:r>
    </w:p>
    <w:p>
      <w:pPr>
        <w:pStyle w:val="Heading1"/>
      </w:pPr>
      <w:r>
        <w:t>8 Aplicaciones veterinarias</w:t>
      </w:r>
    </w:p>
    <w:p>
      <w:pPr>
        <w:pStyle w:val="Heading2"/>
      </w:pPr>
      <w:r>
        <w:t>8.1 Caso canino simulado</w:t>
      </w:r>
    </w:p>
    <w:p>
      <w:r>
        <w:rPr>
          <w:rFonts w:ascii="Times New Roman" w:hAnsi="Times New Roman" w:eastAsia="Times New Roman" w:cs="Times New Roman"/>
          <w:color w:val="000000"/>
          <w:sz w:val="24"/>
        </w:rPr>
        <w:t>Se plantea un perro adulto con diarrea y signos de hipoperfusión. Para el ejercicio se adoptan valores basales de PCO₂ = 40 mmHg y HCO₃⁻ = 24 mmol/L. El laboratorio didáctico utiliza pH 7,35–7,45 y brecha aniónica con K⁺ de 12–24 mmol/L. Estos supuestos no constituyen intervalos universales.</w:t>
      </w:r>
    </w:p>
    <w:p>
      <w:pPr>
        <w:keepNext/>
        <w:spacing w:before="100" w:after="180"/>
        <w:jc w:val="left"/>
      </w:pPr>
      <w:r>
        <w:rPr>
          <w:rFonts w:ascii="Times New Roman" w:hAnsi="Times New Roman" w:eastAsia="Times New Roman" w:cs="Times New Roman"/>
          <w:color w:val="000000"/>
          <w:sz w:val="20"/>
        </w:rPr>
        <w:t>Tabla 3. Gasometría arterial y electrolitos simulados.</w:t>
      </w:r>
    </w:p>
    <w:tbl>
      <w:tblPr>
        <w:tblW w:type="auto" w:w="0"/>
        <w:jc w:val="center"/>
        <w:tblLayout w:type="fixed"/>
        <w:tblLook w:firstColumn="1" w:firstRow="1" w:lastColumn="0" w:lastRow="0" w:noHBand="0" w:noVBand="1" w:val="04A0"/>
      </w:tblPr>
      <w:tblGrid>
        <w:gridCol w:w="4464"/>
        <w:gridCol w:w="4896"/>
      </w:tblGrid>
      <w:tr>
        <w:trPr>
          <w:cantSplit/>
          <w:tblHeader/>
        </w:trPr>
        <w:tc>
          <w:tcPr>
            <w:tcW w:type="dxa" w:w="4464"/>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shd w:fill="E6E6E6"/>
          </w:tcPr>
          <w:p>
            <w:pPr>
              <w:keepNext/>
              <w:spacing w:line="252" w:lineRule="auto" w:after="20"/>
              <w:jc w:val="left"/>
            </w:pPr>
            <w:r>
              <w:rPr>
                <w:rFonts w:ascii="Times New Roman" w:hAnsi="Times New Roman" w:eastAsia="Times New Roman" w:cs="Times New Roman"/>
                <w:b/>
                <w:color w:val="000000"/>
                <w:sz w:val="24"/>
              </w:rPr>
              <w:t>Variable</w:t>
            </w:r>
          </w:p>
        </w:tc>
        <w:tc>
          <w:tcPr>
            <w:tcW w:type="dxa" w:w="4896"/>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shd w:fill="E6E6E6"/>
          </w:tcPr>
          <w:p>
            <w:pPr>
              <w:keepNext/>
              <w:spacing w:line="252" w:lineRule="auto" w:after="20"/>
              <w:jc w:val="left"/>
            </w:pPr>
            <w:r>
              <w:rPr>
                <w:rFonts w:ascii="Times New Roman" w:hAnsi="Times New Roman" w:eastAsia="Times New Roman" w:cs="Times New Roman"/>
                <w:b/>
                <w:color w:val="000000"/>
                <w:sz w:val="24"/>
              </w:rPr>
              <w:t>Resultado</w:t>
            </w:r>
          </w:p>
        </w:tc>
      </w:tr>
      <w:tr>
        <w:trPr>
          <w:cantSplit/>
        </w:trPr>
        <w:tc>
          <w:tcPr>
            <w:tcW w:type="dxa" w:w="4464"/>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pH</w:t>
            </w:r>
          </w:p>
        </w:tc>
        <w:tc>
          <w:tcPr>
            <w:tcW w:type="dxa" w:w="4896"/>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7,20</w:t>
            </w:r>
          </w:p>
        </w:tc>
      </w:tr>
      <w:tr>
        <w:trPr>
          <w:cantSplit/>
        </w:trPr>
        <w:tc>
          <w:tcPr>
            <w:tcW w:type="dxa" w:w="4464"/>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PCO₂</w:t>
            </w:r>
          </w:p>
        </w:tc>
        <w:tc>
          <w:tcPr>
            <w:tcW w:type="dxa" w:w="4896"/>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32 mmHg</w:t>
            </w:r>
          </w:p>
        </w:tc>
      </w:tr>
      <w:tr>
        <w:trPr>
          <w:cantSplit/>
        </w:trPr>
        <w:tc>
          <w:tcPr>
            <w:tcW w:type="dxa" w:w="4464"/>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HCO₃⁻</w:t>
            </w:r>
          </w:p>
        </w:tc>
        <w:tc>
          <w:tcPr>
            <w:tcW w:type="dxa" w:w="4896"/>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keepNext/>
              <w:spacing w:line="252" w:lineRule="auto" w:after="20"/>
              <w:jc w:val="left"/>
            </w:pPr>
            <w:r>
              <w:rPr>
                <w:rFonts w:ascii="Times New Roman" w:hAnsi="Times New Roman" w:eastAsia="Times New Roman" w:cs="Times New Roman"/>
                <w:b w:val="0"/>
                <w:color w:val="000000"/>
                <w:sz w:val="24"/>
              </w:rPr>
              <w:t>12 mmol/L</w:t>
            </w:r>
          </w:p>
        </w:tc>
      </w:tr>
      <w:tr>
        <w:trPr>
          <w:cantSplit/>
        </w:trPr>
        <w:tc>
          <w:tcPr>
            <w:tcW w:type="dxa" w:w="4464"/>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line="252" w:lineRule="auto" w:after="20"/>
              <w:jc w:val="left"/>
            </w:pPr>
            <w:r>
              <w:rPr>
                <w:rFonts w:ascii="Times New Roman" w:hAnsi="Times New Roman" w:eastAsia="Times New Roman" w:cs="Times New Roman"/>
                <w:b w:val="0"/>
                <w:color w:val="000000"/>
                <w:sz w:val="24"/>
              </w:rPr>
              <w:t>Na⁺ / K⁺ / Cl⁻</w:t>
            </w:r>
          </w:p>
        </w:tc>
        <w:tc>
          <w:tcPr>
            <w:tcW w:type="dxa" w:w="4896"/>
            <w:vAlign w:val="center"/>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line="252" w:lineRule="auto" w:after="20"/>
              <w:jc w:val="left"/>
            </w:pPr>
            <w:r>
              <w:rPr>
                <w:rFonts w:ascii="Times New Roman" w:hAnsi="Times New Roman" w:eastAsia="Times New Roman" w:cs="Times New Roman"/>
                <w:b w:val="0"/>
                <w:color w:val="000000"/>
                <w:sz w:val="24"/>
              </w:rPr>
              <w:t>146 / 4 / 108 mmol/L</w:t>
            </w:r>
          </w:p>
        </w:tc>
      </w:tr>
    </w:tbl>
    <w:p>
      <w:pPr>
        <w:spacing w:after="20"/>
      </w:pPr>
    </w:p>
    <w:p>
      <w:r>
        <w:rPr>
          <w:rFonts w:ascii="Times New Roman" w:hAnsi="Times New Roman" w:eastAsia="Times New Roman" w:cs="Times New Roman"/>
          <w:color w:val="000000"/>
          <w:sz w:val="24"/>
        </w:rPr>
        <w:t>El pH indica acidemia y el bicarbonato disminuido identifica un componente metabólico acidificante. El cálculo de brecha aniónica es (146 + 4) − (108 + 12) = 30 mmol/L, por encima del intervalo elegido. La conclusión inicial es acidosis metabólica con aumento de aniones no medidos. La hipoperfusión sugiere investigar lactato, pero el cálculo por sí solo no demuestra su causa. (9)</w:t>
      </w:r>
    </w:p>
    <w:p>
      <w:r>
        <w:rPr>
          <w:rFonts w:ascii="Times New Roman" w:hAnsi="Times New Roman" w:eastAsia="Times New Roman" w:cs="Times New Roman"/>
          <w:color w:val="000000"/>
          <w:sz w:val="24"/>
        </w:rPr>
        <w:t>Como orientación canina se aplica PCO₂ esperada = PCO₂ basal + 0,7 × (HCO₃⁻ medido − HCO₃⁻ basal), con margen de ±3 mmHg para acidosis metabólica. Resulta 31,6 ±3 mmHg, es decir, 28,6–34,6 mmHg. La PCO₂ medida de 32 mmHg es compatible con esa respuesta. Otras reglas pueden ofrecer estimaciones diferentes; esta ecuación no debe generalizarse a bovinos. (5)</w:t>
      </w:r>
    </w:p>
    <w:p>
      <w:r>
        <w:rPr>
          <w:rFonts w:ascii="Times New Roman" w:hAnsi="Times New Roman" w:eastAsia="Times New Roman" w:cs="Times New Roman"/>
          <w:color w:val="000000"/>
          <w:sz w:val="24"/>
        </w:rPr>
        <w:t>La comprobación matemática da pH = 6,1 + log₁₀[12/(0,03 × 32)] ≈ 7,20. Si con el mismo bicarbonato la PCO₂ fuera 50 mmHg, el pH calculado sería cercano a 7,00: la retención de CO₂ añadiría acidosis respiratoria. Este cambio muestra por qué evaluar únicamente bicarbonato sería insuficiente.</w:t>
      </w:r>
    </w:p>
    <w:p>
      <w:pPr>
        <w:pStyle w:val="Heading2"/>
      </w:pPr>
      <w:r>
        <w:t>8.2 Diarrea en el ternero</w:t>
      </w:r>
    </w:p>
    <w:p>
      <w:r>
        <w:rPr>
          <w:rFonts w:ascii="Times New Roman" w:hAnsi="Times New Roman" w:eastAsia="Times New Roman" w:cs="Times New Roman"/>
          <w:color w:val="000000"/>
          <w:sz w:val="24"/>
        </w:rPr>
        <w:t>La diarrea puede combinar pérdida de bicarbonato, hipoperfusión, menor eliminación renal de ácido y absorción de productos de fermentación intestinal. El D-lactato tiene especial interés en terneros con alteraciones digestivas y neurológicas. Su contribución no se deduce de un medidor convencional de L-lactato. La revisión de Burgos y colaboradores también estudia efectos inflamatorios del D-lactato, cuya aplicación clínica continúa en investigación. (10)</w:t>
      </w:r>
    </w:p>
    <w:p>
      <w:r>
        <w:rPr>
          <w:rFonts w:ascii="Times New Roman" w:hAnsi="Times New Roman" w:eastAsia="Times New Roman" w:cs="Times New Roman"/>
          <w:color w:val="000000"/>
          <w:sz w:val="24"/>
        </w:rPr>
        <w:t>Jung y colaboradores compararon 44 terneros Hanwoo sanos y 93 con diarrea. Ambos isómeros de lactato aumentaron en los animales enfermos, pero sus correlaciones individuales con pH fueron débiles. El hallazgo respalda integrar lactato, gasometría y examen clínico. Los intervalos obtenidos en esa población no deben trasladarse automáticamente a terneros de otras razas o sistemas productivos. (11)</w:t>
      </w:r>
    </w:p>
    <w:p>
      <w:pPr>
        <w:pStyle w:val="Heading2"/>
      </w:pPr>
      <w:r>
        <w:t>8.3 Desplazamiento y vólvulo abomasal</w:t>
      </w:r>
    </w:p>
    <w:p>
      <w:r>
        <w:rPr>
          <w:rFonts w:ascii="Times New Roman" w:hAnsi="Times New Roman" w:eastAsia="Times New Roman" w:cs="Times New Roman"/>
          <w:color w:val="000000"/>
          <w:sz w:val="24"/>
        </w:rPr>
        <w:t>El secuestro y reflujo de líquido rico en HCl favorecen alcalosis metabólica hipoclorémica, frecuentemente acompañada de hipopotasemia. Si el vólvulo compromete la perfusión, puede añadirse acidosis asociada a hipoperfusión y alterar el patrón esperado. Braun y colaboradores analizaron 1982 vacas lecheras y documentaron la complejidad de estos cambios. Aunque el artículo se publicó en 2022, los registros procedían de 1988–2016. (12)</w:t>
      </w:r>
    </w:p>
    <w:p>
      <w:pPr>
        <w:keepNext/>
        <w:jc w:val="center"/>
      </w:pPr>
      <w:r>
        <w:drawing>
          <wp:inline xmlns:a="http://schemas.openxmlformats.org/drawingml/2006/main" xmlns:pic="http://schemas.openxmlformats.org/drawingml/2006/picture">
            <wp:extent cx="5806440" cy="2125486"/>
            <wp:docPr id="2" name="Picture 2" descr="Figura 2. Comparación de mecanismos digestivos bovinos que orientan hacia trastornos diferentes. La combinación depende de la enfermedad y su evolución. Esquema propio basado en (10,11,12)."/>
            <wp:cNvGraphicFramePr>
              <a:graphicFrameLocks noChangeAspect="1"/>
            </wp:cNvGraphicFramePr>
            <a:graphic>
              <a:graphicData uri="http://schemas.openxmlformats.org/drawingml/2006/picture">
                <pic:pic>
                  <pic:nvPicPr>
                    <pic:cNvPr id="0" name="bovine.png"/>
                    <pic:cNvPicPr/>
                  </pic:nvPicPr>
                  <pic:blipFill>
                    <a:blip r:embed="rId14"/>
                    <a:stretch>
                      <a:fillRect/>
                    </a:stretch>
                  </pic:blipFill>
                  <pic:spPr>
                    <a:xfrm>
                      <a:off x="0" y="0"/>
                      <a:ext cx="5806440" cy="2125486"/>
                    </a:xfrm>
                    <a:prstGeom prst="rect"/>
                  </pic:spPr>
                </pic:pic>
              </a:graphicData>
            </a:graphic>
          </wp:inline>
        </w:drawing>
      </w:r>
    </w:p>
    <w:p>
      <w:pPr>
        <w:spacing w:before="100" w:after="180"/>
        <w:jc w:val="left"/>
      </w:pPr>
      <w:r>
        <w:rPr>
          <w:rFonts w:ascii="Times New Roman" w:hAnsi="Times New Roman" w:eastAsia="Times New Roman" w:cs="Times New Roman"/>
          <w:color w:val="000000"/>
          <w:sz w:val="20"/>
        </w:rPr>
        <w:t>Figura 2. Comparación de mecanismos digestivos bovinos que orientan hacia trastornos diferentes. La combinación depende de la enfermedad y su evolución. Esquema propio basado en (10,11,12).</w:t>
      </w:r>
    </w:p>
    <w:p>
      <w:pPr>
        <w:pStyle w:val="Heading1"/>
      </w:pPr>
      <w:r>
        <w:t>9 Discusión y principios de manejo</w:t>
      </w:r>
    </w:p>
    <w:p>
      <w:r>
        <w:rPr>
          <w:rFonts w:ascii="Times New Roman" w:hAnsi="Times New Roman" w:eastAsia="Times New Roman" w:cs="Times New Roman"/>
          <w:color w:val="000000"/>
          <w:sz w:val="24"/>
        </w:rPr>
        <w:t>Los ejemplos muestran que un mismo sistema orgánico puede originar alteraciones opuestas. La localización de la pérdida digestiva, la perfusión y la capacidad renal explican mejor el resultado que el nombre general de la enfermedad. También muestran que la compensación debe evaluarse como respuesta secundaria y que un valor aparentemente normal puede ocultar procesos simultáneos.</w:t>
      </w:r>
    </w:p>
    <w:p>
      <w:r>
        <w:rPr>
          <w:rFonts w:ascii="Times New Roman" w:hAnsi="Times New Roman" w:eastAsia="Times New Roman" w:cs="Times New Roman"/>
          <w:color w:val="000000"/>
          <w:sz w:val="24"/>
        </w:rPr>
        <w:t>El manejo debe resolver la enfermedad causal y recuperar perfusión, oxigenación o ventilación según el mecanismo. La selección de líquidos depende del estado circulatorio, electrolitos y capacidad de excreción. En pequeños animales, el bicarbonato no es una respuesta automática a la acidosis asociada a hipoperfusión: primero se corrige el problema causal y se reevalúa. Su uso requiere selección clínica y vigilancia por riesgo de hipernatremia, hipopotasemia, descenso del calcio ionizado y generación de CO₂. (13)</w:t>
      </w:r>
    </w:p>
    <w:p>
      <w:r>
        <w:rPr>
          <w:rFonts w:ascii="Times New Roman" w:hAnsi="Times New Roman" w:eastAsia="Times New Roman" w:cs="Times New Roman"/>
          <w:color w:val="000000"/>
          <w:sz w:val="24"/>
        </w:rPr>
        <w:t>La necesidad de alcalinización puede ser distinta en un ternero con acidosis metabólica grave. Las diferencias de especie y mecanismo impiden aplicar una única pauta terapéutica a todos los pacientes. El seguimiento seriado permite valorar la respuesta y detectar cambios producidos por el tratamiento. (11,13)</w:t>
      </w:r>
    </w:p>
    <w:p>
      <w:pPr>
        <w:pStyle w:val="Heading1"/>
      </w:pPr>
      <w:r>
        <w:t>10 Conclusiones</w:t>
      </w:r>
    </w:p>
    <w:p>
      <w:pPr>
        <w:ind w:left="259" w:hanging="259"/>
      </w:pPr>
      <w:r>
        <w:rPr>
          <w:rFonts w:ascii="Times New Roman" w:hAnsi="Times New Roman" w:eastAsia="Times New Roman" w:cs="Times New Roman"/>
          <w:color w:val="000000"/>
          <w:sz w:val="24"/>
        </w:rPr>
        <w:t>1. La amortiguación química, la ventilación alveolar y la excreción renal de ácido actúan coordinadamente para mantener el equilibrio ácido base.</w:t>
      </w:r>
    </w:p>
    <w:p>
      <w:pPr>
        <w:ind w:left="259" w:hanging="259"/>
      </w:pPr>
      <w:r>
        <w:rPr>
          <w:rFonts w:ascii="Times New Roman" w:hAnsi="Times New Roman" w:eastAsia="Times New Roman" w:cs="Times New Roman"/>
          <w:color w:val="000000"/>
          <w:sz w:val="24"/>
        </w:rPr>
        <w:t>2. Acidosis y alcalosis describen procesos; acidemia y alcalemia describen el pH resultante. Los trastornos combinados pueden conservar un pH aparentemente normal.</w:t>
      </w:r>
    </w:p>
    <w:p>
      <w:pPr>
        <w:ind w:left="259" w:hanging="259"/>
      </w:pPr>
      <w:r>
        <w:rPr>
          <w:rFonts w:ascii="Times New Roman" w:hAnsi="Times New Roman" w:eastAsia="Times New Roman" w:cs="Times New Roman"/>
          <w:color w:val="000000"/>
          <w:sz w:val="24"/>
        </w:rPr>
        <w:t>3. La gasometría debe interpretarse junto con compensación, electrolitos y brecha aniónica, utilizando criterios correspondientes a la especie y al laboratorio.</w:t>
      </w:r>
    </w:p>
    <w:p>
      <w:pPr>
        <w:ind w:left="259" w:hanging="259"/>
      </w:pPr>
      <w:r>
        <w:rPr>
          <w:rFonts w:ascii="Times New Roman" w:hAnsi="Times New Roman" w:eastAsia="Times New Roman" w:cs="Times New Roman"/>
          <w:color w:val="000000"/>
          <w:sz w:val="24"/>
        </w:rPr>
        <w:t>4. La diarrea neonatal y las alteraciones abomasales ilustran mecanismos distintos. Su manejo exige corregir la causa y reevaluar la respuesta clínica.</w:t>
      </w:r>
    </w:p>
    <w:p>
      <w:pPr>
        <w:pStyle w:val="Heading1"/>
        <w:pageBreakBefore/>
      </w:pPr>
      <w:r>
        <w:t>11 Referencias bibliográficas</w:t>
      </w:r>
    </w:p>
    <w:p>
      <w:pPr>
        <w:keepLines/>
        <w:spacing w:line="240" w:lineRule="auto" w:after="100"/>
        <w:ind w:left="360" w:hanging="360"/>
        <w:jc w:val="left"/>
      </w:pPr>
      <w:r>
        <w:rPr>
          <w:rFonts w:ascii="Times New Roman" w:hAnsi="Times New Roman" w:eastAsia="Times New Roman" w:cs="Times New Roman"/>
          <w:color w:val="000000"/>
          <w:sz w:val="24"/>
        </w:rPr>
        <w:t>1. Cornell University. Overview [Internet]. eClinPath; [citado 17 oct 2026]. https://eclinpath.com/chemistry/acid-base/overview/</w:t>
      </w:r>
    </w:p>
    <w:p>
      <w:pPr>
        <w:keepLines/>
        <w:spacing w:line="240" w:lineRule="auto" w:after="100"/>
        <w:ind w:left="360" w:hanging="360"/>
        <w:jc w:val="left"/>
      </w:pPr>
      <w:r>
        <w:rPr>
          <w:rFonts w:ascii="Times New Roman" w:hAnsi="Times New Roman" w:eastAsia="Times New Roman" w:cs="Times New Roman"/>
          <w:color w:val="000000"/>
          <w:sz w:val="24"/>
        </w:rPr>
        <w:t>2. Cornell University. Laboratory detection [Internet]. eClinPath; [citado 17 oct 2026]. https://eclinpath.com/chemistry/acid-base/laboratory-detection/</w:t>
      </w:r>
    </w:p>
    <w:p>
      <w:pPr>
        <w:keepLines/>
        <w:spacing w:line="240" w:lineRule="auto" w:after="100"/>
        <w:ind w:left="360" w:hanging="360"/>
        <w:jc w:val="left"/>
      </w:pPr>
      <w:r>
        <w:rPr>
          <w:rFonts w:ascii="Times New Roman" w:hAnsi="Times New Roman" w:eastAsia="Times New Roman" w:cs="Times New Roman"/>
          <w:color w:val="000000"/>
          <w:sz w:val="24"/>
        </w:rPr>
        <w:t>3. Baquero-Parrado JR. Consideraciones clínicas y regulación del equilibrio ácido-base en ganado bovino. Rev UDCA Actual Divulg Cient. 2008;11(2):85-100. https://doi.org/10.31910/rudca.v11.n2.2008.626</w:t>
      </w:r>
    </w:p>
    <w:p>
      <w:pPr>
        <w:keepLines/>
        <w:spacing w:line="240" w:lineRule="auto" w:after="100"/>
        <w:ind w:left="360" w:hanging="360"/>
        <w:jc w:val="left"/>
      </w:pPr>
      <w:r>
        <w:rPr>
          <w:rFonts w:ascii="Times New Roman" w:hAnsi="Times New Roman" w:eastAsia="Times New Roman" w:cs="Times New Roman"/>
          <w:color w:val="000000"/>
          <w:sz w:val="24"/>
        </w:rPr>
        <w:t>4. Cornell University. Physiology [Internet]. eClinPath; [citado 17 oct 2026]. https://eclinpath.com/chemistry/kidney/physiology/</w:t>
      </w:r>
    </w:p>
    <w:p>
      <w:pPr>
        <w:keepLines/>
        <w:spacing w:line="240" w:lineRule="auto" w:after="100"/>
        <w:ind w:left="360" w:hanging="360"/>
        <w:jc w:val="left"/>
      </w:pPr>
      <w:r>
        <w:rPr>
          <w:rFonts w:ascii="Times New Roman" w:hAnsi="Times New Roman" w:eastAsia="Times New Roman" w:cs="Times New Roman"/>
          <w:color w:val="000000"/>
          <w:sz w:val="24"/>
        </w:rPr>
        <w:t>5. Cornell University. Response to disturbances [Internet]. eClinPath; [citado 17 oct 2026]. https://eclinpath.com/chemistry/acid-base/compensation/</w:t>
      </w:r>
    </w:p>
    <w:p>
      <w:pPr>
        <w:keepLines/>
        <w:spacing w:line="240" w:lineRule="auto" w:after="100"/>
        <w:ind w:left="360" w:hanging="360"/>
        <w:jc w:val="left"/>
      </w:pPr>
      <w:r>
        <w:rPr>
          <w:rFonts w:ascii="Times New Roman" w:hAnsi="Times New Roman" w:eastAsia="Times New Roman" w:cs="Times New Roman"/>
          <w:color w:val="000000"/>
          <w:sz w:val="24"/>
        </w:rPr>
        <w:t>6. Cornell University. Types of disturbances [Internet]. eClinPath; [citado 17 oct 2026]. https://eclinpath.com/chemistry/acid-base/types-of-disturbances/</w:t>
      </w:r>
    </w:p>
    <w:p>
      <w:pPr>
        <w:keepLines/>
        <w:spacing w:line="240" w:lineRule="auto" w:after="100"/>
        <w:ind w:left="360" w:hanging="360"/>
        <w:jc w:val="left"/>
      </w:pPr>
      <w:r>
        <w:rPr>
          <w:rFonts w:ascii="Times New Roman" w:hAnsi="Times New Roman" w:eastAsia="Times New Roman" w:cs="Times New Roman"/>
          <w:color w:val="000000"/>
          <w:sz w:val="24"/>
        </w:rPr>
        <w:t>7. Cornell University. Bicarbonate [Internet]. eClinPath; [citado 17 oct 2026]. https://eclinpath.com/chemistry/acid-base/chemistry-tests/bicarbonate/</w:t>
      </w:r>
    </w:p>
    <w:p>
      <w:pPr>
        <w:keepLines/>
        <w:spacing w:line="240" w:lineRule="auto" w:after="100"/>
        <w:ind w:left="360" w:hanging="360"/>
        <w:jc w:val="left"/>
      </w:pPr>
      <w:r>
        <w:rPr>
          <w:rFonts w:ascii="Times New Roman" w:hAnsi="Times New Roman" w:eastAsia="Times New Roman" w:cs="Times New Roman"/>
          <w:color w:val="000000"/>
          <w:sz w:val="24"/>
        </w:rPr>
        <w:t>8. Cornell University. Potassium [Internet]. eClinPath; [citado 17 oct 2026]. https://eclinpath.com/chemistry/electrolytes/potassium/</w:t>
      </w:r>
    </w:p>
    <w:p>
      <w:pPr>
        <w:keepLines/>
        <w:spacing w:line="240" w:lineRule="auto" w:after="100"/>
        <w:ind w:left="360" w:hanging="360"/>
        <w:jc w:val="left"/>
      </w:pPr>
      <w:r>
        <w:rPr>
          <w:rFonts w:ascii="Times New Roman" w:hAnsi="Times New Roman" w:eastAsia="Times New Roman" w:cs="Times New Roman"/>
          <w:color w:val="000000"/>
          <w:sz w:val="24"/>
        </w:rPr>
        <w:t>9. Cornell University. Anion gap [Internet]. eClinPath; [citado 17 oct 2026]. https://eclinpath.com/chemistry/acid-base/chemistry-tests/anion-gap/</w:t>
      </w:r>
    </w:p>
    <w:p>
      <w:pPr>
        <w:keepLines/>
        <w:spacing w:line="240" w:lineRule="auto" w:after="100"/>
        <w:ind w:left="360" w:hanging="360"/>
        <w:jc w:val="left"/>
      </w:pPr>
      <w:r>
        <w:rPr>
          <w:rFonts w:ascii="Times New Roman" w:hAnsi="Times New Roman" w:eastAsia="Times New Roman" w:cs="Times New Roman"/>
          <w:color w:val="000000"/>
          <w:sz w:val="24"/>
        </w:rPr>
        <w:t>10. Burgos RA, Manosalva C, Alarcón P, Navarro M, Quiroga J, Morán G, et al. The D-lactate enigma: exploring the inflammatory influence of D-lactate in cattle. Front Vet Sci. 2024;11:1509399. https://doi.org/10.3389/fvets.2024.1509399</w:t>
      </w:r>
    </w:p>
    <w:p>
      <w:pPr>
        <w:keepLines/>
        <w:spacing w:line="240" w:lineRule="auto" w:after="100"/>
        <w:ind w:left="360" w:hanging="360"/>
        <w:jc w:val="left"/>
      </w:pPr>
      <w:r>
        <w:rPr>
          <w:rFonts w:ascii="Times New Roman" w:hAnsi="Times New Roman" w:eastAsia="Times New Roman" w:cs="Times New Roman"/>
          <w:color w:val="000000"/>
          <w:sz w:val="24"/>
        </w:rPr>
        <w:t>11. Jung Y, Ku JY, Kim B, Kim Y, Park KM, Baek J, et al. Determining lactate concentrations in Korean indigenous calves and evaluating its role as a predictor for acidemia in calf diarrhea. BMC Vet Res. 2024;20:373. https://doi.org/10.1186/s12917-024-04235-0</w:t>
      </w:r>
    </w:p>
    <w:p>
      <w:pPr>
        <w:keepLines/>
        <w:spacing w:line="240" w:lineRule="auto" w:after="100"/>
        <w:ind w:left="360" w:hanging="360"/>
        <w:jc w:val="left"/>
      </w:pPr>
      <w:r>
        <w:rPr>
          <w:rFonts w:ascii="Times New Roman" w:hAnsi="Times New Roman" w:eastAsia="Times New Roman" w:cs="Times New Roman"/>
          <w:color w:val="000000"/>
          <w:sz w:val="24"/>
        </w:rPr>
        <w:t>12. Braun U, Nuss K, Reif S, Hilbe M, Gerspach C. Left and right displaced abomasum and abomasal volvulus: comparison of clinical, laboratory and ultrasonographic findings in 1982 dairy cows. Acta Vet Scand. 2022;64:40. https://doi.org/10.1186/s13028-022-00656-9</w:t>
      </w:r>
    </w:p>
    <w:p>
      <w:pPr>
        <w:keepLines/>
        <w:spacing w:line="240" w:lineRule="auto" w:after="100"/>
        <w:ind w:left="360" w:hanging="360"/>
        <w:jc w:val="left"/>
      </w:pPr>
      <w:r>
        <w:rPr>
          <w:rFonts w:ascii="Times New Roman" w:hAnsi="Times New Roman" w:eastAsia="Times New Roman" w:cs="Times New Roman"/>
          <w:color w:val="000000"/>
          <w:sz w:val="24"/>
        </w:rPr>
        <w:t>13. Linklater A. Monitorización de pequeños animales críticamente enfermos usando la regla de los 20 [Internet]. Manual de veterinaria de MSD; 2026 [actualizado feb 2026; citado 17 oct 2026]. https://www.msdvetmanual.com/es/medicina-de-urgencia-y-cuidados-intensivos/monitorización-de-pequeños-animales-críticamente-enfermos/monitorización-de-pequeños-animales-críticamente-enfermos-usando-la-regla-de-los-20</w:t>
      </w:r>
    </w:p>
    <w:sectPr w:rsidR="00FC693F" w:rsidRPr="0006063C" w:rsidSect="00034616">
      <w:footerReference w:type="first" r:id="rId9"/>
      <w:headerReference w:type="first" r:id="rId10"/>
      <w:footerReference w:type="default" r:id="rId11"/>
      <w:headerReference w:type="default" r:id="rId12"/>
      <w:pgSz w:w="12240" w:h="15840"/>
      <w:pgMar w:top="1224" w:right="1440" w:bottom="1224" w:left="1440" w:header="504"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s="Times New Roman"/>
        <w:color w:val="000000"/>
        <w:sz w:val="18"/>
      </w:rPr>
      <w:t>Fisiopatología del equilibrio ácido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jc w:val="left"/>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Fisiopatología del equilibrio ácido base</dc:title>
  <dc:subject>Revisión bibliográfica con aplicación veterinaria</dc:subject>
  <dc:creator>Juan José Bajaña Chuno</dc:creator>
  <cp:keywords>Fisiopatología, equilibrio ácido base, veterinaria, Vancouver</cp:keywords>
  <dc:description>generated by python-docx</dc:description>
  <cp:lastModifiedBy/>
  <cp:revision>1</cp:revision>
  <dcterms:created xsi:type="dcterms:W3CDTF">2013-12-23T23:15:00Z</dcterms:created>
  <dcterms:modified xsi:type="dcterms:W3CDTF">2013-12-23T23:15:00Z</dcterms:modified>
  <cp:category/>
</cp:coreProperties>
</file>