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UNIVERSIDAD TÉCNICA DE MACHALA</w:t>
      </w:r>
    </w:p>
    <w:p>
      <w:pPr>
        <w:jc w:val="center"/>
      </w:pPr>
      <w:r>
        <w:rPr>
          <w:b/>
        </w:rPr>
        <w:t>FACULTAD DE CIENCIAS AGROPECUARIAS</w:t>
      </w:r>
    </w:p>
    <w:p>
      <w:pPr>
        <w:jc w:val="center"/>
      </w:pPr>
      <w:r>
        <w:rPr>
          <w:b/>
        </w:rPr>
        <w:t>CARRERA DE MEDICINA VETERINARIA</w:t>
      </w:r>
    </w:p>
    <w:p>
      <w:pPr>
        <w:jc w:val="center"/>
      </w:pPr>
      <w:r>
        <w:rPr>
          <w:b/>
        </w:rPr>
        <w:t>FARMACOLOGÍA II</w:t>
      </w:r>
    </w:p>
    <w:p>
      <w:pPr>
        <w:pStyle w:val="Title"/>
        <w:jc w:val="center"/>
      </w:pPr>
      <w:r>
        <w:rPr>
          <w:b w:val="0"/>
        </w:rPr>
        <w:t>Análisis farmacológico del caso Ares</w:t>
      </w:r>
    </w:p>
    <w:p>
      <w:pPr>
        <w:jc w:val="center"/>
      </w:pPr>
      <w:r>
        <w:rPr>
          <w:b w:val="0"/>
        </w:rPr>
        <w:t>Tesina sobre un canino con signos gastrointestinales</w:t>
        <w:br/>
        <w:t>y tratamiento antimicrobiano y antiparasitario</w:t>
      </w:r>
    </w:p>
    <w:p>
      <w:pPr>
        <w:jc w:val="center"/>
      </w:pPr>
      <w:r>
        <w:rPr>
          <w:b w:val="0"/>
        </w:rPr>
        <w:t>Quinto semestre paralelo A</w:t>
        <w:br/>
        <w:t>Periodo académico 2026 2</w:t>
        <w:br/>
        <w:t>Primera versión integrada</w:t>
      </w:r>
    </w:p>
    <w:p>
      <w:pPr>
        <w:jc w:val="center"/>
      </w:pPr>
      <w:r>
        <w:rPr>
          <w:b/>
        </w:rPr>
        <w:t>Equipo de trabajo</w:t>
      </w:r>
    </w:p>
    <w:p>
      <w:pPr>
        <w:spacing w:after="60"/>
        <w:jc w:val="center"/>
      </w:pPr>
      <w:r>
        <w:rPr>
          <w:b w:val="0"/>
        </w:rPr>
        <w:t>Robinson Macas — Sulfametoxazol</w:t>
      </w:r>
    </w:p>
    <w:p>
      <w:pPr>
        <w:spacing w:after="60"/>
        <w:jc w:val="center"/>
      </w:pPr>
      <w:r>
        <w:rPr>
          <w:b w:val="0"/>
        </w:rPr>
        <w:t>Kristhel Procel — Trimetoprim</w:t>
      </w:r>
    </w:p>
    <w:p>
      <w:pPr>
        <w:spacing w:after="60"/>
        <w:jc w:val="center"/>
      </w:pPr>
      <w:r>
        <w:rPr>
          <w:b w:val="0"/>
        </w:rPr>
        <w:t>Carolina Cajamarca — Metronidazol</w:t>
      </w:r>
    </w:p>
    <w:p>
      <w:pPr>
        <w:spacing w:after="60"/>
        <w:jc w:val="center"/>
      </w:pPr>
      <w:r>
        <w:rPr>
          <w:b w:val="0"/>
        </w:rPr>
        <w:t>Tiffany Machuca — Praziquantel</w:t>
      </w:r>
    </w:p>
    <w:p>
      <w:pPr>
        <w:spacing w:after="60"/>
        <w:jc w:val="center"/>
      </w:pPr>
      <w:r>
        <w:rPr>
          <w:b w:val="0"/>
        </w:rPr>
        <w:t>Samira Yunga — Pirantel</w:t>
      </w:r>
    </w:p>
    <w:p>
      <w:pPr>
        <w:spacing w:after="60"/>
        <w:jc w:val="center"/>
      </w:pPr>
      <w:r>
        <w:rPr>
          <w:b w:val="0"/>
        </w:rPr>
        <w:t>Jhon Balcázar — Sulfato ferroso</w:t>
      </w:r>
    </w:p>
    <w:p>
      <w:pPr>
        <w:jc w:val="center"/>
      </w:pPr>
      <w:r>
        <w:rPr>
          <w:b w:val="0"/>
        </w:rPr>
        <w:t>Coordinación e integración</w:t>
        <w:br/>
        <w:t>Juan José Bajaña Chuno</w:t>
      </w:r>
    </w:p>
    <w:p>
      <w:pPr>
        <w:jc w:val="center"/>
      </w:pPr>
      <w:r>
        <w:rPr>
          <w:b w:val="0"/>
        </w:rPr>
        <w:t>Docente</w:t>
        <w:br/>
        <w:t>Dra. Dioselina Esmeralda Pimbosa Ortiz, Mg.</w:t>
      </w:r>
    </w:p>
    <w:p>
      <w:pPr>
        <w:jc w:val="center"/>
      </w:pPr>
      <w:r>
        <w:rPr>
          <w:b w:val="0"/>
        </w:rPr>
        <w:t>Machala — El Oro — Ecuador</w:t>
        <w:br/>
        <w:t>Octubre de 2026</w:t>
      </w:r>
    </w:p>
    <w:p>
      <w:pPr>
        <w:pStyle w:val="Heading1"/>
        <w:pageBreakBefore/>
      </w:pPr>
      <w:r>
        <w:rPr>
          <w:rFonts w:ascii="Times New Roman" w:hAnsi="Times New Roman"/>
        </w:rPr>
        <w:t>Resumen</w:t>
      </w:r>
    </w:p>
    <w:p>
      <w:r>
        <w:rPr>
          <w:b w:val="0"/>
        </w:rPr>
        <w:t>Ares es un canino mestizo, macho, de nueve meses al momento del laboratorio, con antecedente de diarrea y heces descritas como melénicas durante aproximadamente tres semanas. El informe 028675 registró un peso de 21,60 kg, leucocitosis, incremento marcado de neutrófilos en banda, eosinofilia, monocitosis e hipocromía. El hematocrito permaneció dentro del intervalo del laboratorio. El uroanálisis mostró piuria y bacterias abundantes, hallazgos que requieren correlación con la forma de obtención de la muestra y con signos urinarios.</w:t>
      </w:r>
    </w:p>
    <w:p>
      <w:r>
        <w:rPr>
          <w:b w:val="0"/>
        </w:rPr>
        <w:t>Se integraron seis investigaciones individuales sobre sulfametoxazol, trimetoprim, metronidazol, praziquantel, pirantel y sulfato ferroso. Se contrastaron las concentraciones de los productos, las dosis calculadas y la pauta comunicada por el tutor. Apetomax se analizó como coadyuvante que contiene sulfato ferroso, buclizina y vitaminas del complejo B. Los resultados incluyen un peso final reportado de 22 kg y una mejoría global descrita por el tutor como completa. La diferencia ponderal es de 0,40 kg, equivalente al 1,85 %.</w:t>
      </w:r>
    </w:p>
    <w:p>
      <w:r>
        <w:rPr>
          <w:b w:val="0"/>
        </w:rPr>
        <w:t>La evolución comunicada es favorable, pero no se dispone de un hemograma, coproparasitario ni uroanálisis de control que permitan demostrar normalización analítica o erradicación del agente. El valor académico del caso radica en relacionar los hallazgos con los blancos farmacológicos, distinguir el cálculo de la administración real y reconocer los límites de la inferencia causal cuando varios tratamientos se utilizan al mismo tiempo.</w:t>
      </w:r>
    </w:p>
    <w:p>
      <w:r>
        <w:rPr>
          <w:b/>
        </w:rPr>
        <w:t>Palabras clave: canino; diarrea; sulfonamidas potenciadas; metronidazol; antihelmínticos; sulfato ferroso.</w:t>
      </w:r>
    </w:p>
    <w:p>
      <w:pPr>
        <w:pStyle w:val="Heading1"/>
      </w:pPr>
      <w:r>
        <w:rPr>
          <w:rFonts w:ascii="Times New Roman" w:hAnsi="Times New Roman"/>
        </w:rPr>
        <w:t>1 Introducción</w:t>
      </w:r>
    </w:p>
    <w:p>
      <w:r>
        <w:rPr>
          <w:b w:val="0"/>
        </w:rPr>
        <w:t>La farmacología clínica exige que cada medicamento responda a un problema definido y que su efecto pueda evaluarse. En un paciente con diarrea, una alteración del hemograma no identifica por sí sola el microorganismo responsable. El diagnóstico orienta la selección del antimicrobiano, mientras que la farmacocinética, la concentración comercial y el peso permiten interpretar la exposición al principio activo. La seguridad también depende de la susceptibilidad individual y de la duración del tratamiento. (1)</w:t>
      </w:r>
    </w:p>
    <w:p>
      <w:r>
        <w:rPr>
          <w:b w:val="0"/>
        </w:rPr>
        <w:t>Las recomendaciones actuales sobre diarrea canina desaconsejan utilizar antimicrobianos de manera rutinaria en cuadros agudos leves o moderados. Su aplicación al caso debe ser prudente porque el antecedente de Ares se aproxima a tres semanas y presenta un leucograma inflamatorio importante. La recomendación 4 de ENOVAT exceptúa explícitamente los casos con desviación izquierda degenerativa, patrón descrito en Ares. Este hallazgo exige valoración profesional del posible uso antimicrobiano, sin demostrar agente, foco ni sepsis por sí solo. (2)</w:t>
      </w:r>
    </w:p>
    <w:p>
      <w:pPr>
        <w:pStyle w:val="Heading1"/>
        <w:pageBreakBefore/>
      </w:pPr>
      <w:r>
        <w:rPr>
          <w:rFonts w:ascii="Times New Roman" w:hAnsi="Times New Roman"/>
        </w:rPr>
        <w:t>2 Objetivos</w:t>
      </w:r>
    </w:p>
    <w:p>
      <w:pPr>
        <w:pStyle w:val="Heading2"/>
      </w:pPr>
      <w:r>
        <w:rPr>
          <w:rFonts w:ascii="Times New Roman" w:hAnsi="Times New Roman"/>
        </w:rPr>
        <w:t>2.1 Objetivo general</w:t>
      </w:r>
    </w:p>
    <w:p>
      <w:r>
        <w:rPr>
          <w:b w:val="0"/>
        </w:rPr>
        <w:t>Analizar el manejo farmacológico documentado de Ares mediante la integración de su historia clínica, exámenes auxiliares, principios activos administrados y evolución reportada, con énfasis en la dosificación, la seguridad y la interpretación crítica de la respuesta terapéutica.</w:t>
      </w:r>
    </w:p>
    <w:p>
      <w:pPr>
        <w:pStyle w:val="Heading2"/>
      </w:pPr>
      <w:r>
        <w:rPr>
          <w:rFonts w:ascii="Times New Roman" w:hAnsi="Times New Roman"/>
        </w:rPr>
        <w:t>2.2 Objetivos específicos</w:t>
      </w:r>
    </w:p>
    <w:p>
      <w:r>
        <w:rPr>
          <w:b w:val="0"/>
        </w:rPr>
        <w:t>Relacionar las alteraciones hematológicas, urinarias y gastrointestinales con hipótesis diagnósticas y con los posibles blancos de los seis principios activos.</w:t>
      </w:r>
    </w:p>
    <w:p>
      <w:r>
        <w:rPr>
          <w:b w:val="0"/>
        </w:rPr>
        <w:t>Explicar los mecanismos de acción, la farmacocinética relevante, las reacciones adversas y las interacciones de los medicamentos estudiados.</w:t>
      </w:r>
    </w:p>
    <w:p>
      <w:r>
        <w:rPr>
          <w:b w:val="0"/>
        </w:rPr>
        <w:t>Verificar las conversiones de concentración y los cálculos para 21,60 kg, diferenciando los valores académicos de las cantidades comunicadas como administradas.</w:t>
      </w:r>
    </w:p>
    <w:p>
      <w:r>
        <w:rPr>
          <w:b w:val="0"/>
        </w:rPr>
        <w:t>Describir los resultados disponibles y proponer indicadores de seguimiento que permitan valorar respuesta, seguridad y resolución del proceso sin atribuir resultados no documentados.</w:t>
      </w:r>
    </w:p>
    <w:p>
      <w:pPr>
        <w:pStyle w:val="Heading1"/>
      </w:pPr>
      <w:r>
        <w:rPr>
          <w:rFonts w:ascii="Times New Roman" w:hAnsi="Times New Roman"/>
        </w:rPr>
        <w:t>3 Materiales y métodos</w:t>
      </w:r>
    </w:p>
    <w:p>
      <w:r>
        <w:rPr>
          <w:b w:val="0"/>
        </w:rPr>
        <w:t>Se realizó una integración documental descriptiva de un caso clínico. El corpus incluyó el informe de laboratorio 028675, las seis fichas individuales de Farmacología II, las fichas técnicas de Bactrivet, Relámpago, Apetomax y Metroz-Vet, el material del curso, la rúbrica de exposición y las fotografías aportadas por el tutor. Los datos de administración se tomaron del relato del tutor y se conservaron como tales. El informe de laboratorio corresponde a muestra recibida el 24 de septiembre de 2026 e informe emitido el 25 de septiembre de 2026.</w:t>
      </w:r>
    </w:p>
    <w:p>
      <w:r>
        <w:rPr>
          <w:b w:val="0"/>
        </w:rPr>
        <w:t>La revisión bibliográfica combinó el manual de Plumb disponible en el proyecto con guías veterinarias, artículos originales y documentos de fabricantes. Las fuentes de producto respaldan composición y rotulado; no se interpretaron como ensayos de eficacia. Se priorizaron fuentes veterinarias y se incorporaron referencias en inglés cuando aportaron evidencia clínica no disponible con igual precisión en español. Las citas siguen el orden de primera aparición y presentan enlaces visibles. (1, 2)</w:t>
      </w:r>
    </w:p>
    <w:p>
      <w:r>
        <w:rPr>
          <w:b w:val="0"/>
        </w:rPr>
        <w:t>La unidad de análisis fue el paciente individual. No se emplearon pruebas de significación estadística ni se estimó eficacia poblacional. Los cálculos son aritméticos y utilizan el peso de 21,60 kg registrado en el laboratorio. El peso final de 22 kg se reserva para la comparación de resultados y no se utiliza para reescribir retrospectivamente las dosis.</w:t>
      </w:r>
    </w:p>
    <w:p>
      <w:pPr>
        <w:pStyle w:val="Heading1"/>
        <w:pageBreakBefore/>
      </w:pPr>
      <w:r>
        <w:rPr>
          <w:rFonts w:ascii="Times New Roman" w:hAnsi="Times New Roman"/>
        </w:rPr>
        <w:t>4 Presentación del caso</w:t>
      </w:r>
    </w:p>
    <w:p>
      <w:pPr>
        <w:pStyle w:val="Heading2"/>
      </w:pPr>
      <w:r>
        <w:rPr>
          <w:rFonts w:ascii="Times New Roman" w:hAnsi="Times New Roman"/>
        </w:rPr>
        <w:t>4.1 Identificación y anamnesis</w:t>
      </w:r>
    </w:p>
    <w:tbl>
      <w:tblPr>
        <w:tblW w:type="auto" w:w="0"/>
        <w:jc w:val="center"/>
        <w:tblLayout w:type="fixed"/>
        <w:tblLook w:firstColumn="1" w:firstRow="1" w:lastColumn="0" w:lastRow="0" w:noHBand="0" w:noVBand="1" w:val="04A0"/>
      </w:tblPr>
      <w:tblGrid>
        <w:gridCol w:w="2736"/>
        <w:gridCol w:w="6912"/>
      </w:tblGrid>
      <w:tr>
        <w:trPr>
          <w:tblHeade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Dato</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Registro disponible</w:t>
            </w:r>
          </w:p>
        </w:tc>
      </w:tr>
      <w:tr>
        <w:trP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Paciente</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Ares</w:t>
            </w:r>
          </w:p>
        </w:tc>
      </w:tr>
      <w:tr>
        <w:trP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Especie raza y sexo</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Canino mestizo, macho</w:t>
            </w:r>
          </w:p>
        </w:tc>
      </w:tr>
      <w:tr>
        <w:trP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Edad</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9 meses en el informe de septiembre de 2026</w:t>
            </w:r>
          </w:p>
        </w:tc>
      </w:tr>
      <w:tr>
        <w:trP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Peso del laboratorio</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21,60 kg</w:t>
            </w:r>
          </w:p>
        </w:tc>
      </w:tr>
      <w:tr>
        <w:trP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Motivo referido</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Diarrea y heces descritas como melénicas, con evolución aproximada de tres semanas</w:t>
            </w:r>
          </w:p>
        </w:tc>
      </w:tr>
      <w:tr>
        <w:trP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Contexto clínico</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Atención vinculada a UTMACH y estudio académico de Farmacología II</w:t>
            </w:r>
          </w:p>
        </w:tc>
      </w:tr>
      <w:tr>
        <w:trP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Peso final informado</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22 kg; fecha exacta del pesaje no consignada</w:t>
            </w:r>
          </w:p>
        </w:tc>
      </w:tr>
      <w:tr>
        <w:trPr>
          <w:cantSplit/>
        </w:trPr>
        <w:tc>
          <w:tcPr>
            <w:tcW w:type="dxa" w:w="273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Estado final comunicado</w:t>
            </w:r>
          </w:p>
        </w:tc>
        <w:tc>
          <w:tcPr>
            <w:tcW w:type="dxa" w:w="691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Mejoría global valorada por el tutor como completa</w:t>
            </w:r>
          </w:p>
        </w:tc>
      </w:tr>
    </w:tbl>
    <w:p>
      <w:r>
        <w:rPr>
          <w:b w:val="0"/>
        </w:rPr>
        <w:t>La historia inicial de las fichas menciona un estudio coproparasitario orientado a protozoarios y helmintos. La documentación integrada no contiene un resultado coproparasitario final validado que identifique una especie. Por ello, parasitosis e infección intestinal se conservan como antecedentes e hipótesis clínicas referidas, con el grado de confirmación que permite el expediente.</w:t>
      </w:r>
    </w:p>
    <w:p>
      <w:pPr>
        <w:pStyle w:val="Heading2"/>
      </w:pPr>
      <w:r>
        <w:rPr>
          <w:rFonts w:ascii="Times New Roman" w:hAnsi="Times New Roman"/>
        </w:rPr>
        <w:t>4.2 Cronología documentada y referida</w:t>
      </w:r>
    </w:p>
    <w:tbl>
      <w:tblPr>
        <w:tblW w:type="auto" w:w="0"/>
        <w:jc w:val="center"/>
        <w:tblLayout w:type="fixed"/>
        <w:tblLook w:firstColumn="1" w:firstRow="1" w:lastColumn="0" w:lastRow="0" w:noHBand="0" w:noVBand="1" w:val="04A0"/>
      </w:tblPr>
      <w:tblGrid>
        <w:gridCol w:w="2448"/>
        <w:gridCol w:w="7200"/>
      </w:tblGrid>
      <w:tr>
        <w:trPr>
          <w:tblHeader/>
          <w:cantSplit/>
        </w:trPr>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Momento</w:t>
            </w:r>
          </w:p>
        </w:tc>
        <w:tc>
          <w:tcPr>
            <w:tcW w:type="dxa" w:w="720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Hecho y procedencia</w:t>
            </w:r>
          </w:p>
        </w:tc>
      </w:tr>
      <w:tr>
        <w:trPr>
          <w:cantSplit/>
        </w:trPr>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24 y 25 de septiembre</w:t>
            </w:r>
          </w:p>
        </w:tc>
        <w:tc>
          <w:tcPr>
            <w:tcW w:type="dxa" w:w="720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Recepción de muestra y emisión del laboratorio 028675.</w:t>
            </w:r>
          </w:p>
        </w:tc>
      </w:tr>
      <w:tr>
        <w:trPr>
          <w:cantSplit/>
        </w:trPr>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Antes de la revisión</w:t>
            </w:r>
          </w:p>
        </w:tc>
        <w:tc>
          <w:tcPr>
            <w:tcW w:type="dxa" w:w="720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Tres fotografías de deposiciones aportadas por el tutor; sin secuencia fechada.</w:t>
            </w:r>
          </w:p>
        </w:tc>
      </w:tr>
      <w:tr>
        <w:trPr>
          <w:cantSplit/>
        </w:trPr>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2 de octubre</w:t>
            </w:r>
          </w:p>
        </w:tc>
        <w:tc>
          <w:tcPr>
            <w:tcW w:type="dxa" w:w="720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Inicio referido del desparasitante Relámpago.</w:t>
            </w:r>
          </w:p>
        </w:tc>
      </w:tr>
      <w:tr>
        <w:trPr>
          <w:cantSplit/>
        </w:trPr>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Desde el 3 de octubre</w:t>
            </w:r>
          </w:p>
        </w:tc>
        <w:tc>
          <w:tcPr>
            <w:tcW w:type="dxa" w:w="720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Inicio referido de Bactrivet, metronidazol y Apetomax.</w:t>
            </w:r>
          </w:p>
        </w:tc>
      </w:tr>
      <w:tr>
        <w:trPr>
          <w:cantSplit/>
        </w:trPr>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Comunicación final</w:t>
            </w:r>
          </w:p>
        </w:tc>
        <w:tc>
          <w:tcPr>
            <w:tcW w:type="dxa" w:w="720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Peso de 22 kg y mejoría global referida. No se adjunta control analítico final.</w:t>
            </w:r>
          </w:p>
        </w:tc>
      </w:tr>
    </w:tbl>
    <w:p>
      <w:pPr>
        <w:pStyle w:val="Caption"/>
      </w:pPr>
      <w:r>
        <w:rPr>
          <w:b w:val="0"/>
        </w:rPr>
        <w:t>Fuente: informe 028675, fichas individuales, fotografías y comunicaciones del tutor. Las fechas de administración corresponden al relato, no a una hoja diaria firmada.</w:t>
      </w:r>
    </w:p>
    <w:p>
      <w:pPr>
        <w:pStyle w:val="Heading2"/>
        <w:pageBreakBefore/>
      </w:pPr>
      <w:r>
        <w:rPr>
          <w:rFonts w:ascii="Times New Roman" w:hAnsi="Times New Roman"/>
        </w:rPr>
        <w:t>4.3 Historia manuscrita y examen clínico</w:t>
      </w:r>
    </w:p>
    <w:p>
      <w:r>
        <w:rPr>
          <w:b w:val="0"/>
        </w:rPr>
        <w:t>La hoja clínica fotografiada describe a Ares como un perro negro, mediano, que habitaba en patio, procedente de El Guabo. Consigna alimentación con croquetas y comida casera y cambios de alimento, con mención de Nutrapro y Royal Canin. Estos antecedentes son relevantes para la evaluación de diarrea, pero no prueban una enteropatía alimentaria. La fecha de esa hoja no es legible, por lo que sus mediciones no se asignan a un día del calendario terapéutico.</w:t>
      </w:r>
    </w:p>
    <w:p>
      <w:r>
        <w:rPr>
          <w:b w:val="0"/>
        </w:rPr>
        <w:t>En la anamnesis constan hematochezia y melena con aproximadamente tres semanas de evolución, ánimo conservado y ausencia de medicación previa según la hoja. Se menciona un antecedente de “anemia grave”; se conserva como relato histórico y no como diagnóstico del hemograma 028675. La última desparasitación consignada es el 12 de marzo de 2026. La narración también menciona vacunación, sin permitir reconstruir un calendario completo.</w:t>
      </w:r>
    </w:p>
    <w:p>
      <w:pPr>
        <w:pStyle w:val="Caption"/>
      </w:pPr>
      <w:r>
        <w:rPr>
          <w:b w:val="0"/>
        </w:rPr>
        <w:t>Tabla 1. Mediciones puntuales transcritas de la historia clínica manuscrita.</w:t>
      </w:r>
    </w:p>
    <w:tbl>
      <w:tblPr>
        <w:tblW w:type="auto" w:w="0"/>
        <w:jc w:val="center"/>
        <w:tblLayout w:type="fixed"/>
        <w:tblLook w:firstColumn="1" w:firstRow="1" w:lastColumn="0" w:lastRow="0" w:noHBand="0" w:noVBand="1" w:val="04A0"/>
      </w:tblPr>
      <w:tblGrid>
        <w:gridCol w:w="4320"/>
        <w:gridCol w:w="5328"/>
      </w:tblGrid>
      <w:tr>
        <w:trPr>
          <w:tblHeade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Parámetro</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Registro de la hoja</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Temperatura</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38,8 °C</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Frecuencia cardiaca</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120 latidos/min</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Frecuencia respiratoria</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39 respiraciones/min</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Tiempo de llenado capilar</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 segundos</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Mucosas</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Normales o rosadas, según anotación</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Condición corporal</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3; escala no consignada</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Linfonodos</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Descritos como normales</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Hallazgo cutáneo</w:t>
            </w:r>
          </w:p>
        </w:tc>
        <w:tc>
          <w:tcPr>
            <w:tcW w:type="dxa" w:w="532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Costras en codos</w:t>
            </w:r>
          </w:p>
        </w:tc>
      </w:tr>
    </w:tbl>
    <w:p>
      <w:r>
        <w:rPr>
          <w:b w:val="0"/>
        </w:rPr>
        <w:t>Estos datos constituyen una exploración puntual. No se utilizan para completar casillas de seguimiento AM/PM ni para demostrar una tendencia. Una frecuencia respiratoria aislada requiere contexto de reposo, excitación, temperatura ambiental y técnica, información no detallada en esa hoja.</w:t>
      </w:r>
    </w:p>
    <w:p>
      <w:pPr>
        <w:pStyle w:val="Caption"/>
      </w:pPr>
      <w:r>
        <w:rPr>
          <w:b w:val="0"/>
        </w:rPr>
        <w:t>Fuente: fotografía de historia clínica aportada por el tutor. Se transcriben únicamente datos clínicos; se omiten identificadores y contactos personales.</w:t>
      </w:r>
    </w:p>
    <w:p>
      <w:pPr>
        <w:pStyle w:val="Heading1"/>
        <w:pageBreakBefore/>
      </w:pPr>
      <w:r>
        <w:rPr>
          <w:rFonts w:ascii="Times New Roman" w:hAnsi="Times New Roman"/>
        </w:rPr>
        <w:t>5 Resultados de los exámenes auxiliares</w:t>
      </w:r>
    </w:p>
    <w:p>
      <w:pPr>
        <w:pStyle w:val="Heading2"/>
      </w:pPr>
      <w:r>
        <w:rPr>
          <w:rFonts w:ascii="Times New Roman" w:hAnsi="Times New Roman"/>
        </w:rPr>
        <w:t>5.1 Hematología</w:t>
      </w:r>
    </w:p>
    <w:p>
      <w:pPr>
        <w:pStyle w:val="Caption"/>
      </w:pPr>
      <w:r>
        <w:rPr>
          <w:b w:val="0"/>
        </w:rPr>
        <w:t>Tabla 2. Serie roja y plaquetas. Intervalos del laboratorio que procesó la muestra.</w:t>
      </w:r>
    </w:p>
    <w:tbl>
      <w:tblPr>
        <w:tblW w:type="auto" w:w="0"/>
        <w:jc w:val="center"/>
        <w:tblLayout w:type="fixed"/>
        <w:tblLook w:firstColumn="1" w:firstRow="1" w:lastColumn="0" w:lastRow="0" w:noHBand="0" w:noVBand="1" w:val="04A0"/>
      </w:tblPr>
      <w:tblGrid>
        <w:gridCol w:w="2592"/>
        <w:gridCol w:w="2304"/>
        <w:gridCol w:w="2304"/>
        <w:gridCol w:w="2448"/>
      </w:tblGrid>
      <w:tr>
        <w:trPr>
          <w:tblHeade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Parámetro</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Resultado</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Referencia</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Lectura</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Hematocrito</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38 %</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37–55</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En intervalo</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Hemoglobina</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113 g/L</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120–180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Disminuida</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Eritrocitos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5,70 × 10¹²/L</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5,50–8,50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En intervalo</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VCM</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66,67 fL</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60,00–77,00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En intervalo</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HCM</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19,82 pg</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19,50–24,50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En intervalo</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CHCM</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297,37 g/L</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320,00–360,00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Disminuida</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RDWc</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19,50</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12,00–15,00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Elevado</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Plaquetas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407 × 10⁹/L</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150–500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En intervalo</w:t>
            </w:r>
          </w:p>
        </w:tc>
      </w:tr>
    </w:tbl>
    <w:p>
      <w:pPr>
        <w:pStyle w:val="Caption"/>
      </w:pPr>
      <w:r>
        <w:rPr>
          <w:b w:val="0"/>
        </w:rPr>
        <w:t>Tabla 3. Leucograma absoluto. Las unidades de todas las filas son × 10⁹/L.</w:t>
      </w:r>
    </w:p>
    <w:tbl>
      <w:tblPr>
        <w:tblW w:type="auto" w:w="0"/>
        <w:jc w:val="center"/>
        <w:tblLayout w:type="fixed"/>
        <w:tblLook w:firstColumn="1" w:firstRow="1" w:lastColumn="0" w:lastRow="0" w:noHBand="0" w:noVBand="1" w:val="04A0"/>
      </w:tblPr>
      <w:tblGrid>
        <w:gridCol w:w="2592"/>
        <w:gridCol w:w="2304"/>
        <w:gridCol w:w="2304"/>
        <w:gridCol w:w="2448"/>
      </w:tblGrid>
      <w:tr>
        <w:trPr>
          <w:tblHeade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Población</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Resultado</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Referencia</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Lectura</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Leucocitos totales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21,25</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6,00–18,00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Elevados</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Bandas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7,65</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0,00–0,30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Elevadas</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Segmentados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4,25</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3,00–11,50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En intervalo</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Eosinófilos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2,76</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0,10–1,25</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Elevados</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Basófilos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0,00</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0,00–0,10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En intervalo</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Linfocitos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4,68</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1,00–4,80</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En intervalo</w:t>
            </w:r>
          </w:p>
        </w:tc>
      </w:tr>
      <w:tr>
        <w:trPr>
          <w:cantSplit/>
        </w:trPr>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Monocitos</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1,91</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0,15–1,35</w:t>
            </w:r>
          </w:p>
        </w:tc>
        <w:tc>
          <w:tcPr>
            <w:tcW w:type="dxa" w:w="244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Elevados</w:t>
            </w:r>
          </w:p>
        </w:tc>
      </w:tr>
    </w:tbl>
    <w:p>
      <w:r>
        <w:rPr>
          <w:b w:val="0"/>
        </w:rPr>
        <w:t>La fórmula relativa fue: bandas 36 %, segmentados 20 %, eosinófilos 13 %, basófilos 0 %, linfocitos 22 % y monocitos 9 %. El laboratorio interpretó leucocitosis, desvío a la izquierda degenerativo y eosinofilia. Las bandas superan a los segmentados en el recuento absoluto, hallazgo que sustenta la calificación de la desviación. El porcentaje bajo de segmentados no equivale a neutropenia segmentada absoluta. La interpretación del predominio de inmaduros se apoya en la evaluación del frotis. (3)</w:t>
      </w:r>
    </w:p>
    <w:p>
      <w:pPr>
        <w:pStyle w:val="Caption"/>
      </w:pPr>
      <w:r>
        <w:rPr>
          <w:b w:val="0"/>
        </w:rPr>
        <w:t>Fuente: AviLabec, informe 028675, páginas 1 y 2.</w:t>
      </w:r>
    </w:p>
    <w:p>
      <w:pPr>
        <w:pStyle w:val="Heading2"/>
        <w:pageBreakBefore/>
      </w:pPr>
      <w:r>
        <w:rPr>
          <w:rFonts w:ascii="Times New Roman" w:hAnsi="Times New Roman"/>
        </w:rPr>
        <w:t>5.2 Frotis y bioquímica sérica</w:t>
      </w:r>
    </w:p>
    <w:p>
      <w:r>
        <w:rPr>
          <w:b w:val="0"/>
        </w:rPr>
        <w:t>El frotis informó anisocitosis +++, hipocromasia +, pilas de monedas, linfocitos y monocitos reactivos y macroplaquetas. No se observaron hemopatógenos. El test de Woo fue negativo y la calidad de la muestra se describió como normal. La ausencia de observación no excluye por sí sola todas las infecciones hemáticas.</w:t>
      </w:r>
    </w:p>
    <w:tbl>
      <w:tblPr>
        <w:tblW w:type="auto" w:w="0"/>
        <w:jc w:val="center"/>
        <w:tblLayout w:type="fixed"/>
        <w:tblLook w:firstColumn="1" w:firstRow="1" w:lastColumn="0" w:lastRow="0" w:noHBand="0" w:noVBand="1" w:val="04A0"/>
      </w:tblPr>
      <w:tblGrid>
        <w:gridCol w:w="4320"/>
        <w:gridCol w:w="2664"/>
        <w:gridCol w:w="2664"/>
      </w:tblGrid>
      <w:tr>
        <w:trPr>
          <w:tblHeade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Parámetro</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Resultado</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Referencia</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Sólidos totales plasmáticos</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84 g/L</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60–79 g/L</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Urea</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25 mg/dL</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20–50 mg/dL</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Creatinina</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1,06 mg/dL</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0,60–1,40 mg/dL</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Proteínas totales séricas</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7,40 g/dL</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5,30–7,90 g/dL</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AST</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57 U/L</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13–70 U/L</w:t>
            </w:r>
          </w:p>
        </w:tc>
      </w:tr>
      <w:tr>
        <w:trPr>
          <w:cantSplit/>
        </w:trPr>
        <w:tc>
          <w:tcPr>
            <w:tcW w:type="dxa" w:w="43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ALT</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39 U/L</w:t>
            </w:r>
          </w:p>
        </w:tc>
        <w:tc>
          <w:tcPr>
            <w:tcW w:type="dxa" w:w="266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17–78 U/L</w:t>
            </w:r>
          </w:p>
        </w:tc>
      </w:tr>
    </w:tbl>
    <w:p>
      <w:r>
        <w:rPr>
          <w:b w:val="0"/>
        </w:rPr>
        <w:t>Los sólidos totales plasmáticos están aumentados y deben interpretarse con la hidratación y el contexto inflamatorio. No son intercambiables sin consideración metodológica con las proteínas totales séricas medidas por biuret. Urea, creatinina, AST y ALT están dentro de los intervalos aportados, lo que constituye una línea basal, pero no demuestra ausencia de toda enfermedad renal o hepática.</w:t>
      </w:r>
    </w:p>
    <w:p>
      <w:pPr>
        <w:pStyle w:val="Heading2"/>
      </w:pPr>
      <w:r>
        <w:rPr>
          <w:rFonts w:ascii="Times New Roman" w:hAnsi="Times New Roman"/>
        </w:rPr>
        <w:t>5.3 Uroanálisis</w:t>
      </w:r>
    </w:p>
    <w:tbl>
      <w:tblPr>
        <w:tblW w:type="auto" w:w="0"/>
        <w:jc w:val="center"/>
        <w:tblLayout w:type="fixed"/>
        <w:tblLook w:firstColumn="1" w:firstRow="1" w:lastColumn="0" w:lastRow="0" w:noHBand="0" w:noVBand="1" w:val="04A0"/>
      </w:tblPr>
      <w:tblGrid>
        <w:gridCol w:w="2304"/>
        <w:gridCol w:w="3240"/>
        <w:gridCol w:w="4104"/>
      </w:tblGrid>
      <w:tr>
        <w:trPr>
          <w:tblHeader/>
          <w:cantSplit/>
        </w:trPr>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Hallazgo</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Resultado</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Alcance interpretativo</w:t>
            </w:r>
          </w:p>
        </w:tc>
      </w:tr>
      <w:tr>
        <w:trPr>
          <w:cantSplit/>
        </w:trPr>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Aspecto y densidad</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Amarillo, turbio (+); densidad 1,015</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Densidad en límite inferior del intervalo informado 1,015–1,040.</w:t>
            </w:r>
          </w:p>
        </w:tc>
      </w:tr>
      <w:tr>
        <w:trPr>
          <w:cantSplit/>
        </w:trPr>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pH y sedimento</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pH 7; sedimento escaso</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Contextualizar con muestra y signos.</w:t>
            </w:r>
          </w:p>
        </w:tc>
      </w:tr>
      <w:tr>
        <w:trPr>
          <w:cantSplit/>
        </w:trPr>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Leucocitos</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5–20/campo; referencia 0–4</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Piuria.</w:t>
            </w:r>
          </w:p>
        </w:tc>
      </w:tr>
      <w:tr>
        <w:trPr>
          <w:cantSplit/>
        </w:trPr>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Bacterias</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Campo completo</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Bacteriuria observada; etiología no confirmada.</w:t>
            </w:r>
          </w:p>
        </w:tc>
      </w:tr>
      <w:tr>
        <w:trPr>
          <w:cantSplit/>
        </w:trPr>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Otros</w:t>
            </w:r>
          </w:p>
        </w:tc>
        <w:tc>
          <w:tcPr>
            <w:tcW w:type="dxa" w:w="324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Fosfato triple (+), uratos amorfos (+), espermatozoides (+)</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No confirma urolitiasis ni infección por sí solo.</w:t>
            </w:r>
          </w:p>
        </w:tc>
      </w:tr>
    </w:tbl>
    <w:p>
      <w:r>
        <w:rPr>
          <w:b w:val="0"/>
        </w:rPr>
        <w:t>Las células transicionales fueron 1–3/campo. Los demás analitos químicos y varios elementos del sedimento aparecen como guiones en el informe; se conserva esa notación sin convertirla en valores cuantitativos. No consta el método de recolección, cultivo ni antibiograma. La combinación de piuria y bacteriuria merece revisión clínica, pero no permite asegurar cistitis bacteriana en ausencia de esos datos. (4)</w:t>
      </w:r>
    </w:p>
    <w:p>
      <w:pPr>
        <w:pStyle w:val="Caption"/>
      </w:pPr>
      <w:r>
        <w:rPr>
          <w:b w:val="0"/>
        </w:rPr>
        <w:t>Fuente: AviLabec, informe 028675, páginas 2 y 3.</w:t>
      </w:r>
    </w:p>
    <w:p>
      <w:pPr>
        <w:pStyle w:val="Heading1"/>
        <w:pageBreakBefore/>
      </w:pPr>
      <w:r>
        <w:rPr>
          <w:rFonts w:ascii="Times New Roman" w:hAnsi="Times New Roman"/>
        </w:rPr>
        <w:t>6 Interpretación clínica y farmacológica</w:t>
      </w:r>
    </w:p>
    <w:p>
      <w:r>
        <w:rPr>
          <w:b w:val="0"/>
        </w:rPr>
        <w:t>El problema principal es un síndrome gastrointestinal persistente con antecedente de heces oscuras, acompañado de una respuesta inflamatoria marcada. El hemograma informa la respuesta del hospedador, mientras que el coproparasitario y las pruebas dirigidas deben identificar o excluir agentes concretos. La eosinofilia aumenta el interés por revisar parasitismo y otras causas, pero no constituye un diagnóstico etiológico. (1, 5)</w:t>
      </w:r>
    </w:p>
    <w:tbl>
      <w:tblPr>
        <w:tblW w:type="auto" w:w="0"/>
        <w:jc w:val="center"/>
        <w:tblLayout w:type="fixed"/>
        <w:tblLook w:firstColumn="1" w:firstRow="1" w:lastColumn="0" w:lastRow="0" w:noHBand="0" w:noVBand="1" w:val="04A0"/>
      </w:tblPr>
      <w:tblGrid>
        <w:gridCol w:w="2088"/>
        <w:gridCol w:w="3456"/>
        <w:gridCol w:w="4104"/>
      </w:tblGrid>
      <w:tr>
        <w:trPr>
          <w:tblHeader/>
          <w:cantSplit/>
        </w:trPr>
        <w:tc>
          <w:tcPr>
            <w:tcW w:type="dxa" w:w="20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Hallazgo</w:t>
            </w:r>
          </w:p>
        </w:tc>
        <w:tc>
          <w:tcPr>
            <w:tcW w:type="dxa" w:w="345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Interpretación razonada</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Relación farmacológica y control</w:t>
            </w:r>
          </w:p>
        </w:tc>
      </w:tr>
      <w:tr>
        <w:trPr>
          <w:cantSplit/>
        </w:trPr>
        <w:tc>
          <w:tcPr>
            <w:tcW w:type="dxa" w:w="20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Leucocitosis y bandas</w:t>
            </w:r>
          </w:p>
        </w:tc>
        <w:tc>
          <w:tcPr>
            <w:tcW w:type="dxa" w:w="345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Inflamación importante; no identifica bacteria ni foco.</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SMX/TMP sería pertinente ante una infección susceptible; control clínico y hemograma.</w:t>
            </w:r>
          </w:p>
        </w:tc>
      </w:tr>
      <w:tr>
        <w:trPr>
          <w:cantSplit/>
        </w:trPr>
        <w:tc>
          <w:tcPr>
            <w:tcW w:type="dxa" w:w="20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Eosinofilia</w:t>
            </w:r>
          </w:p>
        </w:tc>
        <w:tc>
          <w:tcPr>
            <w:tcW w:type="dxa" w:w="345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Parasitismo es una posibilidad entre varias.</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Pirantel para nematodos susceptibles; praziquantel para cestodos. Correlacionar con copro.</w:t>
            </w:r>
          </w:p>
        </w:tc>
      </w:tr>
      <w:tr>
        <w:trPr>
          <w:cantSplit/>
        </w:trPr>
        <w:tc>
          <w:tcPr>
            <w:tcW w:type="dxa" w:w="20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Hb y CHCM bajas</w:t>
            </w:r>
          </w:p>
        </w:tc>
        <w:tc>
          <w:tcPr>
            <w:tcW w:type="dxa" w:w="345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Hipocromía con hematocrito en intervalo; ferropenia no demostrada.</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Apetomax aporta sulfato ferroso como coadyuvante. Se necesita caracterizar la alteración eritrocitaria.</w:t>
            </w:r>
          </w:p>
        </w:tc>
      </w:tr>
      <w:tr>
        <w:trPr>
          <w:cantSplit/>
        </w:trPr>
        <w:tc>
          <w:tcPr>
            <w:tcW w:type="dxa" w:w="20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Heces oscuras o con moco</w:t>
            </w:r>
          </w:p>
        </w:tc>
        <w:tc>
          <w:tcPr>
            <w:tcW w:type="dxa" w:w="345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Cambios macroscópicos inespecíficos; la fotografía no confirma melena.</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Relacionar con duración, sangre, dieta y diagnóstico. No asignar un fármaco por color.</w:t>
            </w:r>
          </w:p>
        </w:tc>
      </w:tr>
      <w:tr>
        <w:trPr>
          <w:cantSplit/>
        </w:trPr>
        <w:tc>
          <w:tcPr>
            <w:tcW w:type="dxa" w:w="20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Piuria y bacteriuria</w:t>
            </w:r>
          </w:p>
        </w:tc>
        <w:tc>
          <w:tcPr>
            <w:tcW w:type="dxa" w:w="345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Infección, contaminación u otras situaciones requieren discriminación.</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SMX/TMP no queda justificado únicamente por bacterias observadas.</w:t>
            </w:r>
          </w:p>
        </w:tc>
      </w:tr>
      <w:tr>
        <w:trPr>
          <w:cantSplit/>
        </w:trPr>
        <w:tc>
          <w:tcPr>
            <w:tcW w:type="dxa" w:w="20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Bioquímica en intervalo</w:t>
            </w:r>
          </w:p>
        </w:tc>
        <w:tc>
          <w:tcPr>
            <w:tcW w:type="dxa" w:w="345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Información basal favorable para seguridad.</w:t>
            </w:r>
          </w:p>
        </w:tc>
        <w:tc>
          <w:tcPr>
            <w:tcW w:type="dxa" w:w="41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Mantener vigilancia de tolerancia y función orgánica según evolución.</w:t>
            </w:r>
          </w:p>
        </w:tc>
      </w:tr>
    </w:tbl>
    <w:p>
      <w:r>
        <w:rPr>
          <w:b w:val="0"/>
        </w:rPr>
        <w:t>Los principales diferenciales son enteropatía parasitaria, enteritis infecciosa susceptible, alteración alimentaria y otros procesos gastrointestinales inflamatorios o hemorrágicos. La pérdida digestiva de sangre es una hipótesis ante el antecedente de melena, no una cuantificación de hemorragia. El diagnóstico de deficiencia de hierro requiere integrar índices eritrocitarios, reticulocitos y estudios dirigidos, además de investigar la causa de pérdida. (6)</w:t>
      </w:r>
    </w:p>
    <w:p>
      <w:pPr>
        <w:pStyle w:val="Heading1"/>
        <w:pageBreakBefore/>
      </w:pPr>
      <w:r>
        <w:rPr>
          <w:rFonts w:ascii="Times New Roman" w:hAnsi="Times New Roman"/>
        </w:rPr>
        <w:t>7 Fundamentos fisiopatológicos del tratamiento</w:t>
      </w:r>
    </w:p>
    <w:p>
      <w:pPr>
        <w:pStyle w:val="Heading2"/>
      </w:pPr>
      <w:r>
        <w:rPr>
          <w:rFonts w:ascii="Times New Roman" w:hAnsi="Times New Roman"/>
        </w:rPr>
        <w:t>7.1 Lesión intestinal y cambios fecales</w:t>
      </w:r>
    </w:p>
    <w:p>
      <w:r>
        <w:rPr>
          <w:b w:val="0"/>
        </w:rPr>
        <w:t>La inflamación intestinal puede alterar la absorción de agua y electrolitos, incrementar la secreción y modificar la motilidad. El resultado macroscópico puede ser una deposición menos formada, líquida o con material mucoso. (7) La presencia de sangre digerida puede producir heces negras, pero la iluminación, la dieta y la exposición ambiental cambian la apariencia de una fotografía. Las tres imágenes previas de Ares documentan variación de forma y consistencia; no localizan por sí mismas una lesión ni identifican un agente.</w:t>
      </w:r>
    </w:p>
    <w:p>
      <w:r>
        <w:rPr>
          <w:b w:val="0"/>
        </w:rPr>
        <w:t>Los anquilostomos son un ejemplo de nematodos capaces de lesionar la mucosa y producir pérdida sanguínea. Ese mecanismo conecta un diagnóstico parasitario comprobado con la selección de un antihelmíntico y con el seguimiento hematológico. En Ares, la eosinofilia y el antecedente digestivo permiten considerar esa hipótesis, pero no autorizan a escribir que Ancylostoma causó el cuadro sin identificación coproparasitaria. (5)</w:t>
      </w:r>
    </w:p>
    <w:p>
      <w:pPr>
        <w:pStyle w:val="Heading2"/>
      </w:pPr>
      <w:r>
        <w:rPr>
          <w:rFonts w:ascii="Times New Roman" w:hAnsi="Times New Roman"/>
        </w:rPr>
        <w:t>7.2 Respuesta inflamatoria y leucograma</w:t>
      </w:r>
    </w:p>
    <w:p>
      <w:r>
        <w:rPr>
          <w:b w:val="0"/>
        </w:rPr>
        <w:t>La liberación medular de neutrófilos inmaduros refleja una demanda inflamatoria intensa. La desviación degenerativa descrita en el informe requiere atención porque las formas inmaduras superan a las maduras. La definición requiere la comparación de recuentos absolutos y la morfología. (3) La evolución esperable de un proceso resuelto incluiría una reducción de esa respuesta, pero solo un nuevo hemograma permitiría demostrarlo. No es válido sustituir ese control por la apariencia saludable de una fotografía.</w:t>
      </w:r>
    </w:p>
    <w:p>
      <w:pPr>
        <w:pStyle w:val="Heading2"/>
      </w:pPr>
      <w:r>
        <w:rPr>
          <w:rFonts w:ascii="Times New Roman" w:hAnsi="Times New Roman"/>
        </w:rPr>
        <w:t>7.3 Blancos farmacológicos diferentes</w:t>
      </w:r>
    </w:p>
    <w:p>
      <w:r>
        <w:rPr>
          <w:b w:val="0"/>
        </w:rPr>
        <w:t>Sulfametoxazol y trimetoprim bloquean pasos sucesivos del metabolismo bacteriano del folato. Metronidazol requiere activación reductora en microorganismos susceptibles y produce daño sobre el ADN. Praziquantel altera la función del tegumento y la contracción de cestodos; pirantel altera la transmisión neuromuscular de nematodos susceptibles. El hierro aporta un componente de la hemoglobina cuando existe necesidad real de reposición. Estas acciones explican por qué las seis moléculas no son intercambiables. (1)</w:t>
      </w:r>
    </w:p>
    <w:p>
      <w:r>
        <w:rPr>
          <w:b w:val="0"/>
        </w:rPr>
        <w:t>La coexistencia de varios posibles blancos no significa que todos estén presentes en el mismo animal. La defensa farmacológica debe distinguir el espectro teórico, la indicación del producto y la indicación realmente demostrada en Ares. Tampoco puede atribuirse la mejoría a un solo principio activo cuando se administran simultáneamente varios productos y no existe un control comparativo.</w:t>
      </w:r>
    </w:p>
    <w:p>
      <w:pPr>
        <w:pStyle w:val="Heading1"/>
        <w:pageBreakBefore/>
      </w:pPr>
      <w:r>
        <w:rPr>
          <w:rFonts w:ascii="Times New Roman" w:hAnsi="Times New Roman"/>
        </w:rPr>
        <w:t>8 Tratamiento referido y composición de productos</w:t>
      </w:r>
    </w:p>
    <w:p>
      <w:pPr>
        <w:pStyle w:val="Caption"/>
      </w:pPr>
      <w:r>
        <w:rPr>
          <w:b w:val="0"/>
        </w:rPr>
        <w:t>Tabla 4. Pautas comunicadas por el tutor. No equivalen a una nueva prescripción.</w:t>
      </w:r>
    </w:p>
    <w:tbl>
      <w:tblPr>
        <w:tblW w:type="auto" w:w="0"/>
        <w:jc w:val="center"/>
        <w:tblLayout w:type="fixed"/>
        <w:tblLook w:firstColumn="1" w:firstRow="1" w:lastColumn="0" w:lastRow="0" w:noHBand="0" w:noVBand="1" w:val="04A0"/>
      </w:tblPr>
      <w:tblGrid>
        <w:gridCol w:w="1944"/>
        <w:gridCol w:w="5184"/>
        <w:gridCol w:w="2520"/>
      </w:tblGrid>
      <w:tr>
        <w:trPr>
          <w:tblHeade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Producto</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Pauta reportada</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Periodo referido</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Relámpago</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Administración oral; volumen real no confirmado en el relato consolidado.</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Inicio 2 de octubre.</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Bactrivet</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3 mL por vía oral por la mañana y por la noche.</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14 días desde el 3 de octubre.</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Metronidazol</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1 tableta por vía oral cada día.</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7 días desde el 3 de octubre.</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Apetomax</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7 mL por vía oral cada día.</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5 días desde el 3 de octubre.</w:t>
            </w:r>
          </w:p>
        </w:tc>
      </w:tr>
    </w:tbl>
    <w:p>
      <w:r>
        <w:rPr>
          <w:b w:val="0"/>
        </w:rPr>
        <w:t>Al contar días consecutivos desde el 3 de octubre, las fechas teóricas de cierre son el 16 de octubre para Bactrivet, el 9 para metronidazol y el 7 para Apetomax. Este cómputo deriva de la duración comunicada y no certifica cada administración. No se registra una segunda dosis de Relámpago como hecho realizado.</w:t>
      </w:r>
    </w:p>
    <w:p>
      <w:pPr>
        <w:pStyle w:val="Caption"/>
      </w:pPr>
      <w:r>
        <w:rPr>
          <w:b w:val="0"/>
        </w:rPr>
        <w:t>Tabla 5. Concentraciones utilizadas en la revisión.</w:t>
      </w:r>
    </w:p>
    <w:tbl>
      <w:tblPr>
        <w:tblW w:type="auto" w:w="0"/>
        <w:jc w:val="center"/>
        <w:tblLayout w:type="fixed"/>
        <w:tblLook w:firstColumn="1" w:firstRow="1" w:lastColumn="0" w:lastRow="0" w:noHBand="0" w:noVBand="1" w:val="04A0"/>
      </w:tblPr>
      <w:tblGrid>
        <w:gridCol w:w="1944"/>
        <w:gridCol w:w="5184"/>
        <w:gridCol w:w="2520"/>
      </w:tblGrid>
      <w:tr>
        <w:trPr>
          <w:tblHeade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Producto</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Composición relevante</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Equivalencia</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Bactrivet</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Sulfametoxazol 8 g y trimetoprim 1,6 g por 100 mL.</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80 y 16 mg/mL, respectivamente. (8)</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Relámpago suspensión</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Pamoato de pirantel 100 mg y praziquantel 35 mg por mL.</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100 y 35 mg/mL. (9)</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Apetomax</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Sulfato ferroso 45 mg y buclizina 50 mg por 100 mL, con complejo B.</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0,45 mg/mL de sulfato ferroso y 0,50 mg/mL de buclizina. (10)</w:t>
            </w:r>
          </w:p>
        </w:tc>
      </w:tr>
      <w:tr>
        <w:trPr>
          <w:cantSplit/>
        </w:trPr>
        <w:tc>
          <w:tcPr>
            <w:tcW w:type="dxa" w:w="194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Amibac según ficha individual</w:t>
            </w:r>
          </w:p>
        </w:tc>
        <w:tc>
          <w:tcPr>
            <w:tcW w:type="dxa" w:w="518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Metronidazol 500 mg por tableta.</w:t>
            </w:r>
          </w:p>
        </w:tc>
        <w:tc>
          <w:tcPr>
            <w:tcW w:type="dxa" w:w="252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El cálculo en mg depende de confirmar que esta fue la tableta utilizada. (11)</w:t>
            </w:r>
          </w:p>
        </w:tc>
      </w:tr>
    </w:tbl>
    <w:p>
      <w:r>
        <w:rPr>
          <w:b w:val="0"/>
        </w:rPr>
        <w:t>La fuente Metroz-Vet corresponde a una suspensión de metronidazol de 50 mg/mL. Aporta información de la molécula, pero no permite convertir automáticamente la pauta de una tableta en mililitros. Apetovit se excluye del análisis del tratamiento: el producto referido para Ares es Apetomax.</w:t>
      </w:r>
    </w:p>
    <w:p>
      <w:pPr>
        <w:pStyle w:val="Heading1"/>
        <w:pageBreakBefore/>
      </w:pPr>
      <w:r>
        <w:rPr>
          <w:rFonts w:ascii="Times New Roman" w:hAnsi="Times New Roman"/>
        </w:rPr>
        <w:t>9 Análisis de los seis principios activos</w:t>
      </w:r>
    </w:p>
    <w:p>
      <w:pPr>
        <w:pStyle w:val="Heading2"/>
      </w:pPr>
      <w:r>
        <w:rPr>
          <w:rFonts w:ascii="Times New Roman" w:hAnsi="Times New Roman"/>
        </w:rPr>
        <w:t>9.1 Sulfametoxazol</w:t>
      </w:r>
    </w:p>
    <w:p>
      <w:r>
        <w:rPr>
          <w:b/>
        </w:rPr>
        <w:t>Responsable del trabajo original: Robinson Macas. Producto analizado: Bactrivet Farbiovet.</w:t>
      </w:r>
    </w:p>
    <w:p>
      <w:r>
        <w:rPr>
          <w:b w:val="0"/>
        </w:rPr>
        <w:t>El sulfametoxazol es una sulfonamida antibacteriana que compite con el ácido paraaminobenzoico en la vía de síntesis de folato. Su inhibición de la dihidropteroato sintasa limita la producción de precursores necesarios para los ácidos nucleicos. La asociación con trimetoprim bloquea un paso posterior y puede producir sinergia frente a microorganismos susceptibles. La expresión “sulfonamida potenciada” no implica actividad universal ni elimina la posibilidad de resistencia. (1, 8)</w:t>
      </w:r>
    </w:p>
    <w:p>
      <w:pPr>
        <w:pStyle w:val="Heading3"/>
      </w:pPr>
      <w:r>
        <w:rPr>
          <w:rFonts w:ascii="Times New Roman" w:hAnsi="Times New Roman"/>
        </w:rPr>
        <w:t>Mecanismo y relación con Ares</w:t>
      </w:r>
    </w:p>
    <w:p>
      <w:r>
        <w:rPr>
          <w:b w:val="0"/>
        </w:rPr>
        <w:t>La leucocitosis, las bandas y la monocitosis plantean inflamación; el uroanálisis añade un posible foco urinario que necesita confirmación. Bactrivet puede relacionarse con una infección bacteriana susceptible, pero ni la diarrea ni la bacteriuria aislada demuestran esa susceptibilidad. No tiene actividad antihelmíntica y no sustituye el estudio de la pérdida digestiva de sangre. Para defender su elección se requieren la valoración de la médica responsable y la información clínica que motivó el antibiótico. (4)</w:t>
      </w:r>
    </w:p>
    <w:p>
      <w:pPr>
        <w:pStyle w:val="Heading3"/>
      </w:pPr>
      <w:r>
        <w:rPr>
          <w:rFonts w:ascii="Times New Roman" w:hAnsi="Times New Roman"/>
        </w:rPr>
        <w:t>Farmacocinética y seguridad</w:t>
      </w:r>
    </w:p>
    <w:p>
      <w:r>
        <w:rPr>
          <w:b w:val="0"/>
        </w:rPr>
        <w:t>La formulación oral se absorbe y distribuye sistémicamente. El metabolismo hepático y la excreción renal hacen relevantes la hidratación, la función orgánica y la vigilancia de efectos adversos. El informe basal no muestra azotemia ni aumento de ALT o AST; esto no garantiza la tolerancia durante todo el tratamiento. Las sulfonamidas potenciadas pueden causar intolerancia digestiva, hipersensibilidad, alteraciones hematológicas, hepatotoxicidad y queratoconjuntivitis seca en perros. Una revisión sistemática reciente confirma la diversidad de eventos comunicados y la heterogeneidad de su evidencia. (1, 8, 12)</w:t>
      </w:r>
    </w:p>
    <w:p>
      <w:r>
        <w:rPr>
          <w:b w:val="0"/>
        </w:rPr>
        <w:t>La ficha de Bactrivet advierte frente a hipersensibilidad a sus componentes y enfermedad renal o hepática importante. También describe interacciones con antiácidos y ciclosporina, entre otros medicamentos. En este caso debe vigilarse apetito, vómito, piel, mucosas, articulaciones y signos oculares. La presencia de una reacción nueva requiere valoración veterinaria y no debe confundirse con la evolución de la enfermedad de base. (8)</w:t>
      </w:r>
    </w:p>
    <w:p>
      <w:pPr>
        <w:pStyle w:val="Heading3"/>
      </w:pPr>
      <w:r>
        <w:rPr>
          <w:rFonts w:ascii="Times New Roman" w:hAnsi="Times New Roman"/>
        </w:rPr>
        <w:t>Cálculo de la exposición reportada</w:t>
      </w:r>
    </w:p>
    <w:p>
      <w:r>
        <w:rPr>
          <w:b w:val="0"/>
        </w:rPr>
        <w:t>Con 80 mg/mL, una toma de 3 mL contiene 240 mg de sulfametoxazol. Dividir 240 mg entre 21,60 kg produce 11,11 mg/kg por toma. Dos tomas diarias representan 480 mg/día, equivalentes a 22,22 mg/kg/día de este componente. La ficha académica calcula 3,24 mL; esa diferencia se presenta por separado para no sustituir la cantidad reportada.</w:t>
      </w:r>
    </w:p>
    <w:p>
      <w:pPr>
        <w:pStyle w:val="Heading2"/>
        <w:pageBreakBefore/>
      </w:pPr>
      <w:r>
        <w:rPr>
          <w:rFonts w:ascii="Times New Roman" w:hAnsi="Times New Roman"/>
        </w:rPr>
        <w:t>9.2 Trimetoprim</w:t>
      </w:r>
    </w:p>
    <w:p>
      <w:r>
        <w:rPr>
          <w:b/>
        </w:rPr>
        <w:t>Responsable del trabajo original: Kristhel Procel. Producto analizado: Bactrivet Farbiovet.</w:t>
      </w:r>
    </w:p>
    <w:p>
      <w:r>
        <w:rPr>
          <w:b w:val="0"/>
        </w:rPr>
        <w:t>El trimetoprim es una diaminopirimidina que inhibe la dihidrofolato reductasa microbiana. Disminuye la formación de tetrahidrofolato y complementa el bloqueo iniciado por el sulfametoxazol. El producto contiene las moléculas en proporción de masas 5:1. Ambas integran una sola formulación y una misma administración; estudiarlas por separado no significa administrar Bactrivet dos veces para cada principio activo. (1, 8)</w:t>
      </w:r>
    </w:p>
    <w:p>
      <w:pPr>
        <w:pStyle w:val="Heading3"/>
      </w:pPr>
      <w:r>
        <w:rPr>
          <w:rFonts w:ascii="Times New Roman" w:hAnsi="Times New Roman"/>
        </w:rPr>
        <w:t>Farmacocinética y relación con el caso</w:t>
      </w:r>
    </w:p>
    <w:p>
      <w:r>
        <w:rPr>
          <w:b w:val="0"/>
        </w:rPr>
        <w:t>Trimetoprim se absorbe por vía oral y alcanza tejidos y fluidos corporales. Presenta metabolismo hepático y eliminación renal, con diferencias farmacocinéticas respecto de la sulfonamida. Por ello, la proporción fija en el frasco no equivale a una proporción invariable en todos los tejidos. La concentración de cada componente debe expresarse por separado y la dosis de la combinación debe indicar si corresponde al total o a uno de ellos. (1)</w:t>
      </w:r>
    </w:p>
    <w:p>
      <w:r>
        <w:rPr>
          <w:b w:val="0"/>
        </w:rPr>
        <w:t>La pertinencia clínica en Ares es inseparable de la justificación de la asociación. Se espera una respuesta si existe una infección por bacterias susceptibles y una exposición adecuada, pero no puede afirmarse qué microorganismo se eliminó. Los hallazgos urinarios requieren aclarar toma de muestra, signos y cultivo cuando esté indicado. Un resultado de bacteriuria sin esa información no permite valorar por sí solo la necesidad o la duración de un antimicrobiano. (4)</w:t>
      </w:r>
    </w:p>
    <w:p>
      <w:pPr>
        <w:pStyle w:val="Heading3"/>
      </w:pPr>
      <w:r>
        <w:rPr>
          <w:rFonts w:ascii="Times New Roman" w:hAnsi="Times New Roman"/>
        </w:rPr>
        <w:t>Riesgos e interacciones</w:t>
      </w:r>
    </w:p>
    <w:p>
      <w:r>
        <w:rPr>
          <w:b w:val="0"/>
        </w:rPr>
        <w:t>Se comparten las precauciones de la combinación: intolerancia digestiva, hipersensibilidad y reacciones hepáticas, hematológicas u oculares. El riesgo depende del paciente y de la exposición, no únicamente de que la dosis calculada coincida con la etiqueta. Es relevante revisar otros fármacos que afecten el metabolismo del folato o la función renal y evitar la duplicación involuntaria de productos con sulfonamidas potenciadas. (1, 8)</w:t>
      </w:r>
    </w:p>
    <w:p>
      <w:pPr>
        <w:pStyle w:val="Heading3"/>
      </w:pPr>
      <w:r>
        <w:rPr>
          <w:rFonts w:ascii="Times New Roman" w:hAnsi="Times New Roman"/>
        </w:rPr>
        <w:t>Cálculo y corrección de concentración</w:t>
      </w:r>
    </w:p>
    <w:p>
      <w:r>
        <w:rPr>
          <w:b w:val="0"/>
        </w:rPr>
        <w:t>La concentración es 1,6 g/100 mL = 1600 mg/100 mL = 16 mg/mL. Con 3 mL por toma, Ares recibe 48 mg de trimetoprim: 48/21,60 = 2,22 mg/kg por toma. En dos tomas se totalizan 96 mg/día y 4,44 mg/kg/día. Al sumar ambos principios, Bactrivet contiene 96 mg/mL y la toma reportada representa 288 mg, equivalentes a 13,33 mg/kg de la combinación.</w:t>
      </w:r>
    </w:p>
    <w:p>
      <w:r>
        <w:rPr>
          <w:b w:val="0"/>
        </w:rPr>
        <w:t>La conversión correcta de sulfametoxazol es 80 mg/mL. Una mención de 8 mg/mL en el desarrollo individual constituye un error de conversión y se corrige aquí con la fórmula oficial. Este ajuste no cambia el principio activo asignado ni la contribución de la integrante.</w:t>
      </w:r>
    </w:p>
    <w:p>
      <w:pPr>
        <w:pStyle w:val="Heading2"/>
        <w:pageBreakBefore/>
      </w:pPr>
      <w:r>
        <w:rPr>
          <w:rFonts w:ascii="Times New Roman" w:hAnsi="Times New Roman"/>
        </w:rPr>
        <w:t>9.3 Metronidazol</w:t>
      </w:r>
    </w:p>
    <w:p>
      <w:r>
        <w:rPr>
          <w:b/>
        </w:rPr>
        <w:t>Responsable del trabajo original: Carolina Cajamarca. Presentación de referencia: Amibac, tabletas de 500 mg.</w:t>
      </w:r>
    </w:p>
    <w:p>
      <w:r>
        <w:rPr>
          <w:b w:val="0"/>
        </w:rPr>
        <w:t>El metronidazol es un nitroimidazol con actividad frente a determinados protozoarios y bacterias anaerobias susceptibles. Su activación reductora genera intermediarios que dañan el ADN. Se distribuye ampliamente, incluido el sistema nervioso central, y su metabolismo hepático hace relevante la enfermedad del hígado. No elimina nematodos ni cestodos y no reemplaza la asociación pirantel–praziquantel. (1)</w:t>
      </w:r>
    </w:p>
    <w:p>
      <w:pPr>
        <w:pStyle w:val="Heading3"/>
      </w:pPr>
      <w:r>
        <w:rPr>
          <w:rFonts w:ascii="Times New Roman" w:hAnsi="Times New Roman"/>
        </w:rPr>
        <w:t>Indicación y alcance de la evidencia</w:t>
      </w:r>
    </w:p>
    <w:p>
      <w:r>
        <w:rPr>
          <w:b w:val="0"/>
        </w:rPr>
        <w:t>En Ares se discutió un posible componente protozoario o anaerobio de la enfermedad digestiva. Esa hipótesis no equivale a una giardiasis confirmada. El diagnóstico de Giardia requiere pruebas apropiadas y correlación clínica porque puede haber infección subclínica y eliminación intermitente. Un examen fecal negativo aislado tampoco demuestra siempre eliminación del organismo. (13)</w:t>
      </w:r>
    </w:p>
    <w:p>
      <w:r>
        <w:rPr>
          <w:b w:val="0"/>
        </w:rPr>
        <w:t>Un ensayo clínico en perros con diarrea aguda inespecífica observó un tiempo de resolución menor con metronidazol que con placebo. Sus resultados no demuestran que toda diarrea requiera el fármaco y no pueden trasladarse sin más a un cuadro de tres semanas. Otro ensayo no encontró una diferencia significativa con metronidazol. ENOVAT restringe el uso rutinario en diarrea aguda no grave, pero contempla la desviación degenerativa como excepción. El patrón de Ares requiere valoración clínica y no permite clasificarlo como un cuadro leve únicamente por su aspecto posterior. (14, 15, 2)</w:t>
      </w:r>
    </w:p>
    <w:p>
      <w:pPr>
        <w:pStyle w:val="Heading3"/>
      </w:pPr>
      <w:r>
        <w:rPr>
          <w:rFonts w:ascii="Times New Roman" w:hAnsi="Times New Roman"/>
        </w:rPr>
        <w:t>Conciliación de la pauta</w:t>
      </w:r>
    </w:p>
    <w:p>
      <w:r>
        <w:rPr>
          <w:b w:val="0"/>
        </w:rPr>
        <w:t>El relato del tutor registra una tableta cada 24 horas durante siete días. La ficha individual desarrolla una pauta cada 12 horas. La primera es la administración comunicada y la segunda es un cálculo académico diferente. Si la tableta realmente utilizada contenía 500 mg, la dosis reportada fue 500/21,60 = 23,15 mg/kg por día. Cada 12 horas produciría 46,30 mg/kg/día, el doble de la exposición diaria. No se adopta esa frecuencia como un hecho ocurrido.</w:t>
      </w:r>
    </w:p>
    <w:p>
      <w:pPr>
        <w:pStyle w:val="Heading3"/>
      </w:pPr>
      <w:r>
        <w:rPr>
          <w:rFonts w:ascii="Times New Roman" w:hAnsi="Times New Roman"/>
        </w:rPr>
        <w:t>Seguridad y vigilancia</w:t>
      </w:r>
    </w:p>
    <w:p>
      <w:r>
        <w:rPr>
          <w:b w:val="0"/>
        </w:rPr>
        <w:t>Las reacciones posibles incluyen náusea, vómito, anorexia y signos neurológicos como ataxia, nistagmo, temblores o convulsiones. La neurotoxicidad no dispone de un umbral que garantice seguridad individual por debajo de una cifra fija. Se ha descrito neurotoxicidad con exposiciones inferiores a 60 mg/kg/día; se consideran dosis, duración y susceptibilidad individual. (16) Fenobarbital y cimetidina pueden modificar su exposición; deben revisarse otras interacciones según la medicación concomitante. (1)</w:t>
      </w:r>
    </w:p>
    <w:p>
      <w:r>
        <w:rPr>
          <w:b w:val="0"/>
        </w:rPr>
        <w:t>La mejoría de Ares no acredita por sí misma ausencia de efectos adversos. No existe en el expediente un registro sistemático de tolerancia que permita calcular su frecuencia o atribuirlos a una molécula concreta.</w:t>
      </w:r>
    </w:p>
    <w:p>
      <w:pPr>
        <w:pStyle w:val="Heading2"/>
        <w:pageBreakBefore/>
      </w:pPr>
      <w:r>
        <w:rPr>
          <w:rFonts w:ascii="Times New Roman" w:hAnsi="Times New Roman"/>
        </w:rPr>
        <w:t>9.4 Praziquantel</w:t>
      </w:r>
    </w:p>
    <w:p>
      <w:r>
        <w:rPr>
          <w:b/>
        </w:rPr>
        <w:t>Responsable del trabajo original: Tiffany Machuca. Producto analizado: Relámpago suspensión.</w:t>
      </w:r>
    </w:p>
    <w:p>
      <w:r>
        <w:rPr>
          <w:b w:val="0"/>
        </w:rPr>
        <w:t>El praziquantel es un antihelmíntico de actividad destacada frente a cestodos. Sus efectos sobre la permeabilidad iónica, la contracción y el tegumento del parásito favorecen su lesión y eliminación. La ficha de Relámpago incluye el control de cestodos y nematodos porque combina praziquantel con pamoato de pirantel. No debe atribuirse a una sola molécula todo el espectro de la asociación. (1, 9)</w:t>
      </w:r>
    </w:p>
    <w:p>
      <w:pPr>
        <w:pStyle w:val="Heading3"/>
      </w:pPr>
      <w:r>
        <w:rPr>
          <w:rFonts w:ascii="Times New Roman" w:hAnsi="Times New Roman"/>
        </w:rPr>
        <w:t>Farmacocinética y espectro</w:t>
      </w:r>
    </w:p>
    <w:p>
      <w:r>
        <w:rPr>
          <w:b w:val="0"/>
        </w:rPr>
        <w:t>Se absorbe con rapidez por vía oral, presenta metabolismo hepático de primer paso y eliminación principalmente de metabolitos. Su distribución y sus efectos en el parásito explican que no siempre se observen segmentos intactos después de la administración. La desaparición visible de proglótidos no sustituye una evaluación del riesgo de reinfección. (1)</w:t>
      </w:r>
    </w:p>
    <w:p>
      <w:r>
        <w:rPr>
          <w:b w:val="0"/>
        </w:rPr>
        <w:t>Entre los cestodos relevantes del perro se encuentra Dipylidium caninum, cuyo ciclo incluye pulgas. Un tratamiento dirigido a ese parásito debe acompañarse de control del hospedador intermediario para reducir la reinfección. Sin embargo, en Ares no se ha aportado identificación de proglótidos ni prueba que confirme Dipylidium. Se presenta como fundamento farmacológico y diferencial, no como diagnóstico del paciente. (17)</w:t>
      </w:r>
    </w:p>
    <w:p>
      <w:pPr>
        <w:pStyle w:val="Heading3"/>
      </w:pPr>
      <w:r>
        <w:rPr>
          <w:rFonts w:ascii="Times New Roman" w:hAnsi="Times New Roman"/>
        </w:rPr>
        <w:t>Cálculo académico con Relámpago</w:t>
      </w:r>
    </w:p>
    <w:p>
      <w:r>
        <w:rPr>
          <w:b w:val="0"/>
        </w:rPr>
        <w:t>La ficha declara 35 mg de praziquantel por mL y una dosis de suspensión para perros de 1 mL/5 kg. Para 21,60 kg: 21,60/5 = 4,32 mL. Ese volumen contiene 4,32 × 35 = 151,20 mg de praziquantel, equivalentes a 7 mg/kg. El resultado corresponde a la formulación combinada concreta. No se presenta como la dosis universal de praziquantel para cualquier producto o parásito. (9)</w:t>
      </w:r>
    </w:p>
    <w:p>
      <w:r>
        <w:rPr>
          <w:b w:val="0"/>
        </w:rPr>
        <w:t>El tutor comunicó el inicio de Relámpago, pero no quedó confirmado el volumen realmente administrado en el relato consolidado. Por tanto, 4,32 mL conserva la categoría de cálculo académico. La ficha menciona repetir a los 21 días; esa instrucción de producto no se transforma en una repetición efectuada.</w:t>
      </w:r>
    </w:p>
    <w:p>
      <w:pPr>
        <w:pStyle w:val="Heading3"/>
      </w:pPr>
      <w:r>
        <w:rPr>
          <w:rFonts w:ascii="Times New Roman" w:hAnsi="Times New Roman"/>
        </w:rPr>
        <w:t>Precauciones e indicadores de respuesta</w:t>
      </w:r>
    </w:p>
    <w:p>
      <w:r>
        <w:rPr>
          <w:b w:val="0"/>
        </w:rPr>
        <w:t>Pueden aparecer anorexia, vómito o diarrea. La ficha aconseja precaución en animales debilitados y restringe el uso en cachorros de muy corta edad. Ares tenía nueve meses en el laboratorio, pero la edad por sí sola no resuelve la seguridad individual. Para evaluar la respuesta deben considerarse signos digestivos, estudio fecal apropiado y control de reinfección. Las interacciones y tratamientos concomitantes se revisan a nivel del producto completo. (1, 9)</w:t>
      </w:r>
    </w:p>
    <w:p>
      <w:pPr>
        <w:pStyle w:val="Heading2"/>
        <w:pageBreakBefore/>
      </w:pPr>
      <w:r>
        <w:rPr>
          <w:rFonts w:ascii="Times New Roman" w:hAnsi="Times New Roman"/>
        </w:rPr>
        <w:t>9.5 Pirantel</w:t>
      </w:r>
    </w:p>
    <w:p>
      <w:r>
        <w:rPr>
          <w:b/>
        </w:rPr>
        <w:t>Responsable del trabajo original: Samira Yunga. Producto analizado: Relámpago suspensión.</w:t>
      </w:r>
    </w:p>
    <w:p>
      <w:r>
        <w:rPr>
          <w:b w:val="0"/>
        </w:rPr>
        <w:t>El pirantel es un antihelmíntico que altera la transmisión neuromuscular de nematodos susceptibles y produce parálisis despolarizante. El pamoato se absorbe poco en el tracto gastrointestinal, lo que favorece la exposición del parásito en la luz intestinal. Su actividad comprende determinados ascáridos y anquilostomos; no se utiliza como antiprotozoario. (1, 18)</w:t>
      </w:r>
    </w:p>
    <w:p>
      <w:pPr>
        <w:pStyle w:val="Heading3"/>
      </w:pPr>
      <w:r>
        <w:rPr>
          <w:rFonts w:ascii="Times New Roman" w:hAnsi="Times New Roman"/>
        </w:rPr>
        <w:t>Relación con los hallazgos de Ares</w:t>
      </w:r>
    </w:p>
    <w:p>
      <w:r>
        <w:rPr>
          <w:b w:val="0"/>
        </w:rPr>
        <w:t>La eosinofilia y el antecedente digestivo justifican investigar helmintos. Los anquilostomos pueden producir lesión intestinal y pérdida de sangre, de modo que un resultado fecal compatible permitiría relacionar de forma más sólida el medicamento con el cuadro. La ausencia de un coproparasitario final impide adjudicar una especie o afirmar que la eosinofilia se debió a ese agente. (5)</w:t>
      </w:r>
    </w:p>
    <w:p>
      <w:r>
        <w:rPr>
          <w:b w:val="0"/>
        </w:rPr>
        <w:t>La respuesta al desparasitante puede verse limitada por reinfección, estadios del ciclo no alcanzados por una administración o resistencia. Por ello, el seguimiento no se reduce a repetir un volumen de forma automática: debe considerar la especie, el riesgo ambiental y las pruebas indicadas. Las guías de control parasitario resaltan la importancia de retirar heces y mantener medidas de prevención. (5, 18)</w:t>
      </w:r>
    </w:p>
    <w:p>
      <w:pPr>
        <w:pStyle w:val="Heading3"/>
      </w:pPr>
      <w:r>
        <w:rPr>
          <w:rFonts w:ascii="Times New Roman" w:hAnsi="Times New Roman"/>
        </w:rPr>
        <w:t>Cálculo y distinción entre sal y base</w:t>
      </w:r>
    </w:p>
    <w:p>
      <w:r>
        <w:rPr>
          <w:b w:val="0"/>
        </w:rPr>
        <w:t>Relámpago declara 100 mg de pamoato de pirantel por mL. El volumen académico de 4,32 mL contiene 432 mg de pamoato. Dividido entre 21,60 kg corresponde a 20 mg/kg de la sustancia declarada como pamoato en la ficha. No se etiqueta como 20 mg/kg de pirantel base: algunas referencias expresan las dosis en base y otras en sal, por lo que una comparación directa sin equivalencia química puede inducir un error. (9, 1)</w:t>
      </w:r>
    </w:p>
    <w:p>
      <w:r>
        <w:rPr>
          <w:b w:val="0"/>
        </w:rPr>
        <w:t>Praziquantel y pirantel se encuentran en la misma suspensión. El volumen total calculado es 4,32 mL del producto, no 4,32 mL para cada molécula. Esta distinción evita duplicar la dosis al distribuir el análisis académico entre dos integrantes.</w:t>
      </w:r>
    </w:p>
    <w:p>
      <w:pPr>
        <w:pStyle w:val="Heading3"/>
      </w:pPr>
      <w:r>
        <w:rPr>
          <w:rFonts w:ascii="Times New Roman" w:hAnsi="Times New Roman"/>
        </w:rPr>
        <w:t>Seguridad e interacciones</w:t>
      </w:r>
    </w:p>
    <w:p>
      <w:r>
        <w:rPr>
          <w:b w:val="0"/>
        </w:rPr>
        <w:t>El pamoato de pirantel suele presentar tolerancia favorable a dosis de producto, aunque puede provocar vómito y otros signos digestivos. Debe extremarse la valoración en pacientes muy debilitados. La piperazina presenta antagonismo farmacológico con pirantel y las asociaciones con otros fármacos de acción colinérgica requieren revisión. No hay constancia de que Ares recibiera esos medicamentos; se incluyen como conocimiento de seguridad, no como interacciones observadas. (1)</w:t>
      </w:r>
    </w:p>
    <w:p>
      <w:pPr>
        <w:pStyle w:val="Heading2"/>
        <w:pageBreakBefore/>
      </w:pPr>
      <w:r>
        <w:rPr>
          <w:rFonts w:ascii="Times New Roman" w:hAnsi="Times New Roman"/>
        </w:rPr>
        <w:t>9.6 Sulfato ferroso y Apetomax</w:t>
      </w:r>
    </w:p>
    <w:p>
      <w:r>
        <w:rPr>
          <w:b/>
        </w:rPr>
        <w:t>Responsable del trabajo original: Jhon Balcázar. Producto analizado: Apetomax.</w:t>
      </w:r>
    </w:p>
    <w:p>
      <w:r>
        <w:rPr>
          <w:b w:val="0"/>
        </w:rPr>
        <w:t>El sulfato ferroso es una fuente de hierro. El hierro participa en hemoglobina, mioglobina y enzimas, y puede corregir alteraciones por deficiencia cuando la reposición es adecuada y se controla su causa. No elimina parásitos ni bacterias y no corrige toda hipocromía. Su absorción intestinal depende de la dieta, las reservas y la demanda eritropoyética; el hierro absorbido se transporta unido a transferrina. (1, 6)</w:t>
      </w:r>
    </w:p>
    <w:p>
      <w:pPr>
        <w:pStyle w:val="Heading3"/>
      </w:pPr>
      <w:r>
        <w:rPr>
          <w:rFonts w:ascii="Times New Roman" w:hAnsi="Times New Roman"/>
        </w:rPr>
        <w:t>Interpretación hematológica</w:t>
      </w:r>
    </w:p>
    <w:p>
      <w:r>
        <w:rPr>
          <w:b w:val="0"/>
        </w:rPr>
        <w:t>En Ares, la hemoglobina de 113 g/L y la CHCM de 297,37 g/L están disminuidas, con hipocromasia y anisocitosis. El hematocrito de 38 % y los eritrocitos de 5,70 × 10¹²/L permanecen en el intervalo del laboratorio. El conjunto permite describir alteraciones eritrocitarias, pero no diagnosticar automáticamente anemia ferropénica. La hipótesis de pérdida crónica de sangre necesita estudio de la causa y caracterización adicional. (6)</w:t>
      </w:r>
    </w:p>
    <w:p>
      <w:pPr>
        <w:pStyle w:val="Heading3"/>
      </w:pPr>
      <w:r>
        <w:rPr>
          <w:rFonts w:ascii="Times New Roman" w:hAnsi="Times New Roman"/>
        </w:rPr>
        <w:t>Composición y aporte real</w:t>
      </w:r>
    </w:p>
    <w:p>
      <w:r>
        <w:rPr>
          <w:b w:val="0"/>
        </w:rPr>
        <w:t>Apetomax declara por 100 mL: buclizina 50 mg, sulfato ferroso 45 mg, vitamina B1 HCl 10 mg, B2 30 mg, B3 25 mg, pantotenato de calcio 100 mg, B6 HCl 10 mg y B12 200 µg. La ficha lo presenta como estimulante del apetito y reconstituyente. El efecto sobre apetito no puede atribuirse únicamente al sulfato ferroso porque el producto contiene otros componentes activos. (10)</w:t>
      </w:r>
    </w:p>
    <w:p>
      <w:r>
        <w:rPr>
          <w:b w:val="0"/>
        </w:rPr>
        <w:t>La concentración de sulfato ferroso es 0,45 mg/mL. Con 7 mL diarios se administran 3,15 mg/día de la sal, equivalentes a 0,1458 mg/kg/día para 21,60 kg. El cálculo de etiqueta, 21,60/3 = 7,20 mL, aportaría 3,24 mg/día. Estos miligramos no equivalen a hierro elemental y no permiten afirmar que se suministró una dosis ferroterapéutica suficiente. La forma química y la equivalencia elemental deben estar claramente establecidas antes de compararlas con pautas de reposición. (10, 6)</w:t>
      </w:r>
    </w:p>
    <w:p>
      <w:pPr>
        <w:pStyle w:val="Heading3"/>
      </w:pPr>
      <w:r>
        <w:rPr>
          <w:rFonts w:ascii="Times New Roman" w:hAnsi="Times New Roman"/>
        </w:rPr>
        <w:t>Seguridad y evaluación</w:t>
      </w:r>
    </w:p>
    <w:p>
      <w:r>
        <w:rPr>
          <w:b w:val="0"/>
        </w:rPr>
        <w:t>El hierro oral puede ocasionar irritación gastrointestinal y modificar el color fecal. El exceso puede ser tóxico, por lo que no se aumenta la dosis para corregir un número del hemograma sin diagnóstico. Antiácidos y ciertos minerales pueden reducir su absorción; también existen interacciones por unión con otros fármacos. La ficha de Apetomax advierte no utilizarlo en hipervitaminosis. (1, 10)</w:t>
      </w:r>
    </w:p>
    <w:p>
      <w:r>
        <w:rPr>
          <w:b w:val="0"/>
        </w:rPr>
        <w:t>La recuperación hematológica tendría que demostrarse mediante un control de hemograma y, si procede, estudios de hierro. El aumento de 0,40 kg y la mejoría comunicada no prueban una corrección de la disponibilidad de hierro.</w:t>
      </w:r>
    </w:p>
    <w:p>
      <w:pPr>
        <w:pStyle w:val="Heading1"/>
        <w:pageBreakBefore/>
      </w:pPr>
      <w:r>
        <w:rPr>
          <w:rFonts w:ascii="Times New Roman" w:hAnsi="Times New Roman"/>
        </w:rPr>
        <w:t>10 Verificación de dosis y discrepancias</w:t>
      </w:r>
    </w:p>
    <w:p>
      <w:r>
        <w:rPr>
          <w:b w:val="0"/>
        </w:rPr>
        <w:t>Las fórmulas utilizadas fueron: cantidad de principio activo = volumen × concentración; dosis por toma = cantidad/peso; y volumen según etiqueta = peso × volumen de referencia/peso de referencia. Todas las operaciones de esta tabla corresponden a 21,60 kg.</w:t>
      </w:r>
    </w:p>
    <w:p>
      <w:pPr>
        <w:pStyle w:val="Caption"/>
      </w:pPr>
      <w:r>
        <w:rPr>
          <w:b w:val="0"/>
        </w:rPr>
        <w:t>Tabla 6. Comparación entre cálculo de ficha y administración comunicada.</w:t>
      </w:r>
    </w:p>
    <w:tbl>
      <w:tblPr>
        <w:tblW w:type="auto" w:w="0"/>
        <w:jc w:val="center"/>
        <w:tblLayout w:type="fixed"/>
        <w:tblLook w:firstColumn="1" w:firstRow="1" w:lastColumn="0" w:lastRow="0" w:noHBand="0" w:noVBand="1" w:val="04A0"/>
      </w:tblPr>
      <w:tblGrid>
        <w:gridCol w:w="1872"/>
        <w:gridCol w:w="3888"/>
        <w:gridCol w:w="3888"/>
      </w:tblGrid>
      <w:tr>
        <w:trPr>
          <w:tblHeade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Producto</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Cálculo académico</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Pauta reportada y exposición</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Bactrivet</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21,60 × 1,5/10 = 3,24 mL por toma.</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3 mL por toma: 240 mg SMX + 48 mg TMP. Total 13,33 mg/kg por toma.</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Relámpago</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21,60/5 = 4,32 mL. Contiene 151,2 mg praziquantel y 432 mg pamoato de pirantel.</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Inicio referido. Volumen real y repetición no confirmados.</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Metronidazol</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Si tableta de 500 mg: 500/21,60 = 23,15 mg/kg por toma.</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Una tableta diaria. Cada 12 h en la ficha individual constituye una discrepancia.</w:t>
            </w:r>
          </w:p>
        </w:tc>
      </w:tr>
      <w:tr>
        <w:trPr>
          <w:cantSplit/>
        </w:trPr>
        <w:tc>
          <w:tcPr>
            <w:tcW w:type="dxa" w:w="187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Apetomax</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21,60/3 = 7,20 mL/día; 3,24 mg/día de sulfato ferroso.</w:t>
            </w:r>
          </w:p>
        </w:tc>
        <w:tc>
          <w:tcPr>
            <w:tcW w:type="dxa" w:w="388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7 mL/día; 3,15 mg/día de sulfato ferroso, sin equivalencia elemental establecida.</w:t>
            </w:r>
          </w:p>
        </w:tc>
      </w:tr>
    </w:tbl>
    <w:p>
      <w:r>
        <w:rPr>
          <w:b w:val="0"/>
        </w:rPr>
        <w:t>Bactrivet: la diferencia entre 3,24 y 3,00 mL es 0,24 mL por toma, equivalente al 7,41 % del volumen calculado. Apetomax: la diferencia entre 7,20 y 7,00 mL es 0,20 mL, equivalente al 2,78 %. Estos porcentajes describen discrepancias aritméticas y no permiten juzgar por sí solos adecuación, error de administración o eficacia clínica.</w:t>
      </w:r>
    </w:p>
    <w:p>
      <w:r>
        <w:rPr>
          <w:b w:val="0"/>
        </w:rPr>
        <w:t>En Bactrivet, el volumen de ficha de 3,24 mL contiene 311,04 mg de la combinación, equivalentes a 14,40 mg/kg. La mención nominal de 15 mg/kg en el rotulado no coincide exactamente con ese volumen a 96 mg/mL. Se muestra la aritmética y no se ajusta retrospectivamente la administración para forzar coincidencia.</w:t>
      </w:r>
    </w:p>
    <w:p>
      <w:r>
        <w:rPr>
          <w:b w:val="0"/>
        </w:rPr>
        <w:t>La concentración de Bactrivet se confirma con la formulación de 80 mg/mL de sulfametoxazol y 16 mg/mL de trimetoprim. En Relámpago se utiliza la pauta de la suspensión y no una línea de tabletas presente en el documento. La referencia de metronidazol en suspensión se mantiene separada de Amibac en tabletas. (8, 9, 11)</w:t>
      </w:r>
    </w:p>
    <w:p>
      <w:r>
        <w:rPr>
          <w:b w:val="0"/>
        </w:rPr>
        <w:t>A 22 kg, la dosis recibida por kilogramo de una cantidad fija sería ligeramente menor. No se recalcula el tratamiento pasado con ese peso porque el expediente no fija el momento del cambio ponderal. La verificación farmacológica requiere conservar el peso vigente en cada decisión clínica.</w:t>
      </w:r>
    </w:p>
    <w:p>
      <w:pPr>
        <w:pStyle w:val="Heading1"/>
        <w:pageBreakBefore/>
      </w:pPr>
      <w:r>
        <w:rPr>
          <w:rFonts w:ascii="Times New Roman" w:hAnsi="Times New Roman"/>
        </w:rPr>
        <w:t>11 Resultados clínicos disponibles</w:t>
      </w:r>
    </w:p>
    <w:p>
      <w:pPr>
        <w:pStyle w:val="Heading2"/>
      </w:pPr>
      <w:r>
        <w:rPr>
          <w:rFonts w:ascii="Times New Roman" w:hAnsi="Times New Roman"/>
        </w:rPr>
        <w:t>11.1 Cambio de peso</w:t>
      </w:r>
    </w:p>
    <w:tbl>
      <w:tblPr>
        <w:tblW w:type="auto" w:w="0"/>
        <w:jc w:val="center"/>
        <w:tblLayout w:type="fixed"/>
        <w:tblLook w:firstColumn="1" w:firstRow="1" w:lastColumn="0" w:lastRow="0" w:noHBand="0" w:noVBand="1" w:val="04A0"/>
      </w:tblPr>
      <w:tblGrid>
        <w:gridCol w:w="3168"/>
        <w:gridCol w:w="2304"/>
        <w:gridCol w:w="4176"/>
      </w:tblGrid>
      <w:tr>
        <w:trPr>
          <w:tblHeader/>
          <w:cantSplit/>
        </w:trPr>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Medición</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Valor</w:t>
            </w:r>
          </w:p>
        </w:tc>
        <w:tc>
          <w:tcPr>
            <w:tcW w:type="dxa" w:w="41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Procedencia</w:t>
            </w:r>
          </w:p>
        </w:tc>
      </w:tr>
      <w:tr>
        <w:trPr>
          <w:cantSplit/>
        </w:trPr>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Peso basal de referencia</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21,60 kg</w:t>
            </w:r>
          </w:p>
        </w:tc>
        <w:tc>
          <w:tcPr>
            <w:tcW w:type="dxa" w:w="41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Informe 028675, septiembre de 2026.</w:t>
            </w:r>
          </w:p>
        </w:tc>
      </w:tr>
      <w:tr>
        <w:trPr>
          <w:cantSplit/>
        </w:trPr>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Peso final reportado</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22,00 kg</w:t>
            </w:r>
          </w:p>
        </w:tc>
        <w:tc>
          <w:tcPr>
            <w:tcW w:type="dxa" w:w="41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Comunicación del tutor; fecha exacta no consignada.</w:t>
            </w:r>
          </w:p>
        </w:tc>
      </w:tr>
      <w:tr>
        <w:trPr>
          <w:cantSplit/>
        </w:trPr>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Diferencia absoluta</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+0,40 kg</w:t>
            </w:r>
          </w:p>
        </w:tc>
        <w:tc>
          <w:tcPr>
            <w:tcW w:type="dxa" w:w="41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22,00 − 21,60.</w:t>
            </w:r>
          </w:p>
        </w:tc>
      </w:tr>
      <w:tr>
        <w:trPr>
          <w:cantSplit/>
        </w:trPr>
        <w:tc>
          <w:tcPr>
            <w:tcW w:type="dxa" w:w="3168"/>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Cambio relativo</w:t>
            </w:r>
          </w:p>
        </w:tc>
        <w:tc>
          <w:tcPr>
            <w:tcW w:type="dxa" w:w="2304"/>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+1,85 %</w:t>
            </w:r>
          </w:p>
        </w:tc>
        <w:tc>
          <w:tcPr>
            <w:tcW w:type="dxa" w:w="417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(0,40/21,60) × 100.</w:t>
            </w:r>
          </w:p>
        </w:tc>
      </w:tr>
    </w:tbl>
    <w:p>
      <w:r>
        <w:rPr>
          <w:b w:val="0"/>
        </w:rPr>
        <w:t>El incremento es pequeño en términos absolutos y coincide con la apreciación del tutor de una diferencia apenas perceptible. No se dispone de un intervalo exacto entre pesajes, báscula identificada ni condiciones estandarizadas de medición. Por ello, no se calcula ganancia diaria ni se atribuye el cambio exclusivamente a un medicamento, al estado de hidratación o a crecimiento.</w:t>
      </w:r>
    </w:p>
    <w:p>
      <w:pPr>
        <w:pStyle w:val="Heading2"/>
      </w:pPr>
      <w:r>
        <w:rPr>
          <w:rFonts w:ascii="Times New Roman" w:hAnsi="Times New Roman"/>
        </w:rPr>
        <w:t>11.2 Mejoría percibida y documentación fotográfica</w:t>
      </w:r>
    </w:p>
    <w:p>
      <w:r>
        <w:rPr>
          <w:b w:val="0"/>
        </w:rPr>
        <w:t>El tutor comunica una mejoría global “del 100 %”. En este trabajo esa expresión se interpreta como percepción de recuperación completa del estado de salud, sin transformarla en una escala clínica validada, porcentaje de eficacia ni prueba de curación microbiológica. La fotografía reciente permite reconocer a Ares y observar su aspecto en ese momento, pero no sustituye la exploración física.</w:t>
      </w:r>
    </w:p>
    <w:p>
      <w:r>
        <w:rPr>
          <w:b w:val="0"/>
        </w:rPr>
        <w:t>Las tres fotografías de heces corresponden al periodo previo a la revisión y al tratamiento según el tutor. Una presenta material oscuro y blando, otra material poco formado con componente líquido o mucoso y otra fragmentos más formados. No se ordenan como una evolución favorable porque no existe fecha individual ni una secuencia confirmada. Tampoco se consideran fotografías posteriores al tratamiento.</w:t>
      </w:r>
    </w:p>
    <w:p>
      <w:pPr>
        <w:pStyle w:val="Heading2"/>
      </w:pPr>
      <w:r>
        <w:rPr>
          <w:rFonts w:ascii="Times New Roman" w:hAnsi="Times New Roman"/>
        </w:rPr>
        <w:t>11.3 Límites del desenlace</w:t>
      </w:r>
    </w:p>
    <w:p>
      <w:r>
        <w:rPr>
          <w:b w:val="0"/>
        </w:rPr>
        <w:t>No se dispone de un hemograma de control que demuestre descenso de leucocitos, bandas o eosinófilos, ni aumento de hemoglobina o CHCM. Tampoco se aporta un resultado fecal final validado o un control urinario que documente resolución. La ausencia de esos resultados limita la atribución de respuesta a cada fármaco, aunque no invalida la mejoría comunicada por el tutor.</w:t>
      </w:r>
    </w:p>
    <w:p>
      <w:r>
        <w:rPr>
          <w:b w:val="0"/>
        </w:rPr>
        <w:t>Las tablas visuales de seguimiento aportadas mezclan observaciones reales y valores del ejemplo educativo, sin identificar de manera individual las celdas auténticas. Por esa razón no se incorporan como una serie clínica verificada. No se asignan valores seriados de temperatura, frecuencia cardiaca, frecuencia respiratoria, peso o consistencia fecal a fechas no verificadas.</w:t>
      </w:r>
    </w:p>
    <w:p>
      <w:pPr>
        <w:pStyle w:val="Heading1"/>
        <w:pageBreakBefore/>
      </w:pPr>
      <w:r>
        <w:rPr>
          <w:rFonts w:ascii="Times New Roman" w:hAnsi="Times New Roman"/>
        </w:rPr>
        <w:t>12 Discusión</w:t>
      </w:r>
    </w:p>
    <w:p>
      <w:r>
        <w:rPr>
          <w:b w:val="0"/>
        </w:rPr>
        <w:t>La fortaleza del caso reside en la disponibilidad de un laboratorio basal y de formulaciones comerciales identificadas. El análisis conjunto revela que una exposición completa no debe limitarse a enumerar seis medicamentos: requiere mostrar qué problema pretende resolver cada principio y qué prueba permitiría demostrar la respuesta. El perfil inflamatorio es relevante, pero no diferencia por sí solo una enteropatía parasitaria, una infección bacteriana o una inflamación de otra causa.</w:t>
      </w:r>
    </w:p>
    <w:p>
      <w:r>
        <w:rPr>
          <w:b w:val="0"/>
        </w:rPr>
        <w:t>La asociación sulfametoxazol–trimetoprim ofrece un ejemplo de sinergia farmacodinámica. Su discusión debe permanecer vinculada a una infección susceptible y a la evaluación del foco. La presencia de bacterias en orina, sin método de recolección ni cultivo, es insuficiente para establecer cistitis. Las guías ISCAID distinguen las situaciones clínicas que requieren tratamiento de aquellas en las que un hallazgo aislado puede no justificarlo. (4)</w:t>
      </w:r>
    </w:p>
    <w:p>
      <w:r>
        <w:rPr>
          <w:b w:val="0"/>
        </w:rPr>
        <w:t>El metronidazol ilustra la diferencia entre una indicación clásica y el uso empírico indiscriminado. La literatura incluye estudios con resultados favorables en determinados perros con diarrea aguda, pero también documenta alteraciones de la microbiota intestinal tras su administración. La decisión exige valorar beneficio, diagnóstico y riesgo. Ninguno de esos estudios prueba que el fármaco explique la recuperación de Ares. (14, 19)</w:t>
      </w:r>
    </w:p>
    <w:p>
      <w:r>
        <w:rPr>
          <w:b w:val="0"/>
        </w:rPr>
        <w:t>Pirantel y praziquantel amplían la cobertura del producto contra diferentes helmintos, pero no convierten una eosinofilia en diagnóstico de parasitosis. La selección y el seguimiento deberían apoyarse en pruebas fecales y riesgo de exposición. Una mejor consistencia de heces puede coexistir con persistencia o reinfección, por lo que el desenlace clínico y el parasitológico son distintos. (5, 17)</w:t>
      </w:r>
    </w:p>
    <w:p>
      <w:r>
        <w:rPr>
          <w:b w:val="0"/>
        </w:rPr>
        <w:t>Apetomax requiere una lectura especialmente cuidadosa. Su composición lo sitúa como coadyuvante nutricional y estimulante del apetito. La cantidad declarada de sulfato ferroso no permite afirmar reposición terapéutica suficiente de hierro elemental. Además, el hemograma basal no demuestra por sí solo ferropenia. Explicar esta limitación mejora la defensa académica porque evita atribuir a un suplemento una acción causal no comprobada. (10, 6)</w:t>
      </w:r>
    </w:p>
    <w:p>
      <w:r>
        <w:rPr>
          <w:b w:val="0"/>
        </w:rPr>
        <w:t>La evolución favorable reportada es clínicamente relevante, pero corresponde a un caso sin comparación, con varios tratamientos y sin pruebas de control. No permite estimar eficacia de cada molécula ni causalidad. La discrepancia de frecuencia del metronidazol y la diferencia de volúmenes deben resolverse con prescripción, envases y registro de administración, manteniendo separados los hechos de los cálculos.</w:t>
      </w:r>
    </w:p>
    <w:p>
      <w:pPr>
        <w:pStyle w:val="Heading1"/>
        <w:pageBreakBefore/>
      </w:pPr>
      <w:r>
        <w:rPr>
          <w:rFonts w:ascii="Times New Roman" w:hAnsi="Times New Roman"/>
        </w:rPr>
        <w:t>13 Seguimiento propuesto y criterios de evaluación</w:t>
      </w:r>
    </w:p>
    <w:p>
      <w:r>
        <w:rPr>
          <w:b w:val="0"/>
        </w:rPr>
        <w:t>El siguiente esquema representa un plan de evaluación académica. No describe controles ya efectuados ni modifica la pauta del profesional responsable.</w:t>
      </w:r>
    </w:p>
    <w:tbl>
      <w:tblPr>
        <w:tblW w:type="auto" w:w="0"/>
        <w:jc w:val="center"/>
        <w:tblLayout w:type="fixed"/>
        <w:tblLook w:firstColumn="1" w:firstRow="1" w:lastColumn="0" w:lastRow="0" w:noHBand="0" w:noVBand="1" w:val="04A0"/>
      </w:tblPr>
      <w:tblGrid>
        <w:gridCol w:w="2160"/>
        <w:gridCol w:w="4896"/>
        <w:gridCol w:w="2592"/>
      </w:tblGrid>
      <w:tr>
        <w:trPr>
          <w:tblHeader/>
          <w:cantSplit/>
        </w:trPr>
        <w:tc>
          <w:tcPr>
            <w:tcW w:type="dxa" w:w="216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Momento orientativo</w:t>
            </w:r>
          </w:p>
        </w:tc>
        <w:tc>
          <w:tcPr>
            <w:tcW w:type="dxa" w:w="489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Información a registrar</w:t>
            </w:r>
          </w:p>
        </w:tc>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E7E7E7"/>
          </w:tcPr>
          <w:p>
            <w:pPr>
              <w:spacing w:after="40" w:before="40" w:line="245" w:lineRule="auto"/>
              <w:jc w:val="left"/>
            </w:pPr>
            <w:r>
              <w:rPr>
                <w:rFonts w:ascii="Times New Roman" w:hAnsi="Times New Roman"/>
                <w:b/>
                <w:sz w:val="24"/>
              </w:rPr>
              <w:t>Criterio que aporta</w:t>
            </w:r>
          </w:p>
        </w:tc>
      </w:tr>
      <w:tr>
        <w:trPr>
          <w:cantSplit/>
        </w:trPr>
        <w:tc>
          <w:tcPr>
            <w:tcW w:type="dxa" w:w="216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24 horas desde el inicio</w:t>
            </w:r>
          </w:p>
        </w:tc>
        <w:tc>
          <w:tcPr>
            <w:tcW w:type="dxa" w:w="489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Apetito, agua, vómitos, número de deposiciones, sangre visible, tolerancia y dosis administradas.</w:t>
            </w:r>
          </w:p>
        </w:tc>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Detectar deterioro o intolerancia temprana.</w:t>
            </w:r>
          </w:p>
        </w:tc>
      </w:tr>
      <w:tr>
        <w:trPr>
          <w:cantSplit/>
        </w:trPr>
        <w:tc>
          <w:tcPr>
            <w:tcW w:type="dxa" w:w="216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72 horas</w:t>
            </w:r>
          </w:p>
        </w:tc>
        <w:tc>
          <w:tcPr>
            <w:tcW w:type="dxa" w:w="489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Examen clínico y tendencia de signos, hidratación y respuesta global.</w:t>
            </w:r>
          </w:p>
        </w:tc>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Revalorar diagnóstico si persiste o empeora el cuadro.</w:t>
            </w:r>
          </w:p>
        </w:tc>
      </w:tr>
      <w:tr>
        <w:trPr>
          <w:cantSplit/>
        </w:trPr>
        <w:tc>
          <w:tcPr>
            <w:tcW w:type="dxa" w:w="216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Alrededor de 7 días</w:t>
            </w:r>
          </w:p>
        </w:tc>
        <w:tc>
          <w:tcPr>
            <w:tcW w:type="dxa" w:w="489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Peso con técnica comparable, revisión de medicamentos y pruebas indicadas.</w:t>
            </w:r>
          </w:p>
        </w:tc>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FFFFF"/>
          </w:tcPr>
          <w:p>
            <w:pPr>
              <w:spacing w:after="40" w:before="40" w:line="245" w:lineRule="auto"/>
              <w:jc w:val="left"/>
            </w:pPr>
            <w:r>
              <w:rPr>
                <w:rFonts w:ascii="Times New Roman" w:hAnsi="Times New Roman"/>
                <w:b w:val="0"/>
                <w:sz w:val="24"/>
              </w:rPr>
              <w:t>Valorar tendencia clínica y necesidad de control analítico.</w:t>
            </w:r>
          </w:p>
        </w:tc>
      </w:tr>
      <w:tr>
        <w:trPr>
          <w:cantSplit/>
        </w:trPr>
        <w:tc>
          <w:tcPr>
            <w:tcW w:type="dxa" w:w="2160"/>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Cierre del caso</w:t>
            </w:r>
          </w:p>
        </w:tc>
        <w:tc>
          <w:tcPr>
            <w:tcW w:type="dxa" w:w="4896"/>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Hemograma y estudio fecal o urinario según la indicación clínica.</w:t>
            </w:r>
          </w:p>
        </w:tc>
        <w:tc>
          <w:tcPr>
            <w:tcW w:type="dxa" w:w="2592"/>
            <w:vAlign w:val="center"/>
            <w:tcBorders>
              <w:top w:val="single" w:sz="4" w:color="D9D9D9"/>
              <w:left w:val="single" w:sz="4" w:color="D9D9D9"/>
              <w:bottom w:val="single" w:sz="4" w:color="D9D9D9"/>
              <w:right w:val="single" w:sz="4" w:color="D9D9D9"/>
            </w:tcBorders>
            <w:tcMar>
              <w:top w:w="55" w:type="dxa"/>
              <w:bottom w:w="55" w:type="dxa"/>
              <w:left w:w="55" w:type="dxa"/>
              <w:right w:w="55" w:type="dxa"/>
            </w:tcMar>
            <w:shd w:fill="F7F7F7"/>
          </w:tcPr>
          <w:p>
            <w:pPr>
              <w:spacing w:after="40" w:before="40" w:line="245" w:lineRule="auto"/>
              <w:jc w:val="left"/>
            </w:pPr>
            <w:r>
              <w:rPr>
                <w:rFonts w:ascii="Times New Roman" w:hAnsi="Times New Roman"/>
                <w:b w:val="0"/>
                <w:sz w:val="24"/>
              </w:rPr>
              <w:t>Documentar resolución de alteraciones y precisar el desenlace.</w:t>
            </w:r>
          </w:p>
        </w:tc>
      </w:tr>
    </w:tbl>
    <w:p>
      <w:r>
        <w:rPr>
          <w:b w:val="0"/>
        </w:rPr>
        <w:t>La persistencia de heces negras, sangre visible, vómitos repetidos, debilidad, deshidratación o signos neurológicos obliga a una reevaluación clínica. Para afirmar normalización hematológica se necesitan resultados posteriores comparables. Para valorar respuesta parasitológica deben conocerse técnica, especie detectada y momento de muestreo. No se exige una misma prueba a todos los pacientes: la decisión corresponde a la médica responsable.</w:t>
      </w:r>
    </w:p>
    <w:p>
      <w:pPr>
        <w:pStyle w:val="Heading1"/>
      </w:pPr>
      <w:r>
        <w:rPr>
          <w:rFonts w:ascii="Times New Roman" w:hAnsi="Times New Roman"/>
        </w:rPr>
        <w:t>14 Conclusiones</w:t>
      </w:r>
    </w:p>
    <w:p>
      <w:r>
        <w:rPr>
          <w:b w:val="0"/>
        </w:rPr>
        <w:t>El expediente de Ares demuestra alteraciones inflamatorias y eritrocitarias basales, junto con piuria y bacteriuria. Estos hallazgos sustentan la necesidad de razonamiento diagnóstico, pero no confirman por sí solos una especie parasitaria, una infección bacteriana susceptible ni anemia ferropénica.</w:t>
      </w:r>
    </w:p>
    <w:p>
      <w:r>
        <w:rPr>
          <w:b w:val="0"/>
        </w:rPr>
        <w:t>Los seis principios activos conservan funciones distintas: sulfametoxazol y trimetoprim actúan como asociación; metronidazol se dirige a microorganismos susceptibles; praziquantel y pirantel cubren grupos de helmintos diferentes; y el sulfato ferroso forma parte de un coadyuvante. Apetomax es el producto analizado en lugar de Apetovit.</w:t>
      </w:r>
    </w:p>
    <w:p>
      <w:r>
        <w:rPr>
          <w:b w:val="0"/>
        </w:rPr>
        <w:t>La verificación identifica diferencias entre las pautas calculadas y las comunicadas. El peso de 21,60 kg fundamenta los cálculos históricos. El peso final de 22 kg representa un incremento de 0,40 kg o 1,85 %, y la recuperación completa corresponde a la apreciación del tutor. La confirmación analítica del desenlace permanece fuera de lo demostrado por los datos disponibles.</w:t>
      </w:r>
    </w:p>
    <w:p>
      <w:pPr>
        <w:pStyle w:val="Heading1"/>
        <w:pageBreakBefore/>
      </w:pPr>
      <w:r>
        <w:rPr>
          <w:rFonts w:ascii="Times New Roman" w:hAnsi="Times New Roman"/>
        </w:rPr>
        <w:t>15 Referencias bibliográficas</w:t>
      </w:r>
    </w:p>
    <w:p>
      <w:pPr>
        <w:keepNext/>
      </w:pPr>
      <w:r>
        <w:rPr>
          <w:b w:val="0"/>
        </w:rPr>
        <w:t>1. Plumb DC. Plumb's veterinary drug handbook. 6th ed. Stockholm (WI): PharmaVet; 2008.</w:t>
      </w:r>
    </w:p>
    <w:p>
      <w:pPr>
        <w:spacing w:after="180"/>
        <w:jc w:val="left"/>
      </w:pPr>
      <w:hyperlink r:id="rId10">
        <w:r>
          <w:rPr>
            <w:rFonts w:ascii="Times New Roman" w:hAnsi="Times New Roman"/>
            <w:sz w:val="24"/>
          </w:rPr>
          <w:t>https://search.worldcat.org/es/title/Plumb%27s-veterinary-drug-handbook/oclc/440588470</w:t>
        </w:r>
      </w:hyperlink>
    </w:p>
    <w:p>
      <w:pPr>
        <w:keepNext/>
      </w:pPr>
      <w:r>
        <w:rPr>
          <w:b w:val="0"/>
        </w:rPr>
        <w:t>2. Jessen LR, Werner M, Singleton D, Prior C, Foroutan F, Ferran AA, et al. European Network for Optimization of Veterinary Antimicrobial Therapy (ENOVAT) guidelines for antimicrobial use in canine acute diarrhoea. Vet J. 2024;307:106208. doi:10.1016/j.tvjl.2024.106208.</w:t>
      </w:r>
    </w:p>
    <w:p>
      <w:pPr>
        <w:spacing w:after="180"/>
        <w:jc w:val="left"/>
      </w:pPr>
      <w:hyperlink r:id="rId11">
        <w:r>
          <w:rPr>
            <w:rFonts w:ascii="Times New Roman" w:hAnsi="Times New Roman"/>
            <w:sz w:val="24"/>
          </w:rPr>
          <w:t>https://doi.org/10.1016/j.tvjl.2024.106208</w:t>
        </w:r>
      </w:hyperlink>
    </w:p>
    <w:p>
      <w:pPr>
        <w:keepNext/>
      </w:pPr>
      <w:r>
        <w:rPr>
          <w:b w:val="0"/>
        </w:rPr>
        <w:t>3. Cornell University College of Veterinary Medicine. Left shift. En: eClinpath [Internet]. Ithaca (NY): Cornell University [citado 21 oct 2026].</w:t>
      </w:r>
    </w:p>
    <w:p>
      <w:pPr>
        <w:spacing w:after="180"/>
        <w:jc w:val="left"/>
      </w:pPr>
      <w:hyperlink r:id="rId12">
        <w:r>
          <w:rPr>
            <w:rFonts w:ascii="Times New Roman" w:hAnsi="Times New Roman"/>
            <w:sz w:val="24"/>
          </w:rPr>
          <w:t>https://eclinpath.com/hematology/morphologic-features/white-blood-cells/left-shift/</w:t>
        </w:r>
      </w:hyperlink>
    </w:p>
    <w:p>
      <w:pPr>
        <w:keepNext/>
      </w:pPr>
      <w:r>
        <w:rPr>
          <w:b w:val="0"/>
        </w:rPr>
        <w:t>4. Weese JS, Blondeau J, Boothe D, Guardabassi LG, Gumley N, Papich M, et al. International Society for Companion Animal Infectious Diseases (ISCAID) guidelines for the diagnosis and management of bacterial urinary tract infections in dogs and cats. Vet J. 2019;247:8–25. doi:10.1016/j.tvjl.2019.02.008.</w:t>
      </w:r>
    </w:p>
    <w:p>
      <w:pPr>
        <w:spacing w:after="180"/>
        <w:jc w:val="left"/>
      </w:pPr>
      <w:hyperlink r:id="rId13">
        <w:r>
          <w:rPr>
            <w:rFonts w:ascii="Times New Roman" w:hAnsi="Times New Roman"/>
            <w:sz w:val="24"/>
          </w:rPr>
          <w:t>https://doi.org/10.1016/j.tvjl.2019.02.008</w:t>
        </w:r>
      </w:hyperlink>
    </w:p>
    <w:p>
      <w:pPr>
        <w:keepNext/>
      </w:pPr>
      <w:r>
        <w:rPr>
          <w:b w:val="0"/>
        </w:rPr>
        <w:t>5. Companion Animal Parasite Council. Hookworms [Internet]. CAPC; 2025 [actualizado 28 feb 2025; citado 21 oct 2026].</w:t>
      </w:r>
    </w:p>
    <w:p>
      <w:pPr>
        <w:spacing w:after="180"/>
        <w:jc w:val="left"/>
      </w:pPr>
      <w:hyperlink r:id="rId14">
        <w:r>
          <w:rPr>
            <w:rFonts w:ascii="Times New Roman" w:hAnsi="Times New Roman"/>
            <w:sz w:val="24"/>
          </w:rPr>
          <w:t>https://capcvet.org/guidelines/hookworms/</w:t>
        </w:r>
      </w:hyperlink>
    </w:p>
    <w:p>
      <w:pPr>
        <w:keepNext/>
      </w:pPr>
      <w:r>
        <w:rPr>
          <w:b w:val="0"/>
        </w:rPr>
        <w:t>6. Cornell University College of Veterinary Medicine. Iron panels. En: eClinpath [Internet]. Ithaca (NY): Cornell University [citado 21 oct 2026].</w:t>
      </w:r>
    </w:p>
    <w:p>
      <w:pPr>
        <w:spacing w:after="180"/>
        <w:jc w:val="left"/>
      </w:pPr>
      <w:hyperlink r:id="rId15">
        <w:r>
          <w:rPr>
            <w:rFonts w:ascii="Times New Roman" w:hAnsi="Times New Roman"/>
            <w:sz w:val="24"/>
          </w:rPr>
          <w:t>https://eclinpath.com/chemistry/iron-metabolism/iron-panel-summary/</w:t>
        </w:r>
      </w:hyperlink>
    </w:p>
    <w:p>
      <w:pPr>
        <w:keepNext/>
      </w:pPr>
      <w:r>
        <w:rPr>
          <w:b w:val="0"/>
        </w:rPr>
        <w:t>7. Gallagher A. El aparato digestivo en animales. Manual de veterinaria de Merck [Internet]. Rahway (NJ): Merck &amp; Co.; 2025 [actualizado abr 2026; citado 21 oct 2026].</w:t>
      </w:r>
    </w:p>
    <w:p>
      <w:pPr>
        <w:spacing w:after="180"/>
        <w:jc w:val="left"/>
      </w:pPr>
      <w:hyperlink r:id="rId16">
        <w:r>
          <w:rPr>
            <w:rFonts w:ascii="Times New Roman" w:hAnsi="Times New Roman"/>
            <w:sz w:val="24"/>
          </w:rPr>
          <w:t>https://www.merckvetmanual.com/es-us/aparato-digestivo/introducción-al-aparato-digestivo/el-aparato-digestivo-en-animales</w:t>
        </w:r>
      </w:hyperlink>
    </w:p>
    <w:p>
      <w:pPr>
        <w:keepNext/>
      </w:pPr>
      <w:r>
        <w:rPr>
          <w:b w:val="0"/>
        </w:rPr>
        <w:t>8. Farbiopharma. Bactrivet Farbiovet: antibiótico suspensión oral [Internet]. Quito: Farbiopharma; s. f. [citado 21 oct 2026].</w:t>
      </w:r>
    </w:p>
    <w:p>
      <w:pPr>
        <w:spacing w:after="180"/>
        <w:jc w:val="left"/>
      </w:pPr>
      <w:hyperlink r:id="rId17">
        <w:r>
          <w:rPr>
            <w:rFonts w:ascii="Times New Roman" w:hAnsi="Times New Roman"/>
            <w:sz w:val="24"/>
          </w:rPr>
          <w:t>https://farbiopharma.com/wp-content/uploads/2023/01/F.T.-BACTRIVET-FARBIOVET-V0..pdf</w:t>
        </w:r>
      </w:hyperlink>
    </w:p>
    <w:p>
      <w:pPr>
        <w:keepNext/>
      </w:pPr>
      <w:r>
        <w:rPr>
          <w:b w:val="0"/>
        </w:rPr>
        <w:t>9. James Brown Pharma. Relámpago: antiparasitario interno [Internet]. Quito: James Brown Pharma; s. f. [citado 21 oct 2026].</w:t>
      </w:r>
    </w:p>
    <w:p>
      <w:pPr>
        <w:spacing w:after="180"/>
        <w:jc w:val="left"/>
      </w:pPr>
      <w:hyperlink r:id="rId18">
        <w:r>
          <w:rPr>
            <w:rFonts w:ascii="Times New Roman" w:hAnsi="Times New Roman"/>
            <w:sz w:val="24"/>
          </w:rPr>
          <w:t>https://jamesbrownpharma.com/producto/relampago/</w:t>
        </w:r>
      </w:hyperlink>
    </w:p>
    <w:p>
      <w:pPr>
        <w:keepNext/>
      </w:pPr>
      <w:r>
        <w:rPr>
          <w:b w:val="0"/>
        </w:rPr>
        <w:t>10. Favetex. Apetomax: estimulante de apetito [Internet]. Guayaquil: Favetex; s. f. [citado 21 oct 2026].</w:t>
      </w:r>
    </w:p>
    <w:p>
      <w:pPr>
        <w:spacing w:after="180"/>
        <w:jc w:val="left"/>
      </w:pPr>
      <w:hyperlink r:id="rId19">
        <w:r>
          <w:rPr>
            <w:rFonts w:ascii="Times New Roman" w:hAnsi="Times New Roman"/>
            <w:sz w:val="24"/>
          </w:rPr>
          <w:t>https://favetex.com/wp-content/uploads/2026/04/Apetomax.pdf</w:t>
        </w:r>
      </w:hyperlink>
    </w:p>
    <w:p>
      <w:pPr>
        <w:keepNext/>
      </w:pPr>
      <w:r>
        <w:rPr>
          <w:b w:val="0"/>
        </w:rPr>
        <w:t>11. Aranda Pets. Amibac: metronidazol tabletas [Internet]. Experiencia Veterinaria; s. f. [citado 21 oct 2026].</w:t>
      </w:r>
    </w:p>
    <w:p>
      <w:pPr>
        <w:spacing w:after="180"/>
        <w:jc w:val="left"/>
      </w:pPr>
      <w:hyperlink r:id="rId20">
        <w:r>
          <w:rPr>
            <w:rFonts w:ascii="Times New Roman" w:hAnsi="Times New Roman"/>
            <w:sz w:val="24"/>
          </w:rPr>
          <w:t>https://www.experiencia.vet/Detail?id=4</w:t>
        </w:r>
      </w:hyperlink>
    </w:p>
    <w:p>
      <w:pPr>
        <w:keepNext/>
      </w:pPr>
      <w:r>
        <w:rPr>
          <w:b w:val="0"/>
        </w:rPr>
        <w:t>12. Ekstrand C, Hedlund M, Pelander L, Scahill K. Adverse events of trimetroprim-sulphonamide treatment of cats and dogs: a systematic review. Vet Res Commun. 2026;50:224. doi:10.1007/s11259-026-11143-1.</w:t>
      </w:r>
    </w:p>
    <w:p>
      <w:pPr>
        <w:spacing w:after="180"/>
        <w:jc w:val="left"/>
      </w:pPr>
      <w:hyperlink r:id="rId21">
        <w:r>
          <w:rPr>
            <w:rFonts w:ascii="Times New Roman" w:hAnsi="Times New Roman"/>
            <w:sz w:val="24"/>
          </w:rPr>
          <w:t>https://doi.org/10.1007/s11259-026-11143-1</w:t>
        </w:r>
      </w:hyperlink>
    </w:p>
    <w:p>
      <w:pPr>
        <w:keepNext/>
      </w:pPr>
      <w:r>
        <w:rPr>
          <w:b w:val="0"/>
        </w:rPr>
        <w:t>13. Companion Animal Parasite Council. Giardia [Internet]. CAPC; 2026 [actualizado 3 ago 2026; citado 21 oct 2026].</w:t>
      </w:r>
    </w:p>
    <w:p>
      <w:pPr>
        <w:spacing w:after="180"/>
        <w:jc w:val="left"/>
      </w:pPr>
      <w:hyperlink r:id="rId22">
        <w:r>
          <w:rPr>
            <w:rFonts w:ascii="Times New Roman" w:hAnsi="Times New Roman"/>
            <w:sz w:val="24"/>
          </w:rPr>
          <w:t>https://capcvet.org/guidelines/giardia/</w:t>
        </w:r>
      </w:hyperlink>
    </w:p>
    <w:p>
      <w:pPr>
        <w:keepNext/>
      </w:pPr>
      <w:r>
        <w:rPr>
          <w:b w:val="0"/>
        </w:rPr>
        <w:t>14. Langlois DK, Koenigshof AM, Mani R. Metronidazole treatment of acute diarrhea in dogs: a randomized double blinded placebo-controlled clinical trial. J Vet Intern Med. 2020;34(1):98–104. doi:10.1111/jvim.15664.</w:t>
      </w:r>
    </w:p>
    <w:p>
      <w:pPr>
        <w:spacing w:after="180"/>
        <w:jc w:val="left"/>
      </w:pPr>
      <w:hyperlink r:id="rId23">
        <w:r>
          <w:rPr>
            <w:rFonts w:ascii="Times New Roman" w:hAnsi="Times New Roman"/>
            <w:sz w:val="24"/>
          </w:rPr>
          <w:t>https://doi.org/10.1111/jvim.15664</w:t>
        </w:r>
      </w:hyperlink>
    </w:p>
    <w:p>
      <w:pPr>
        <w:keepNext/>
      </w:pPr>
      <w:r>
        <w:rPr>
          <w:b w:val="0"/>
        </w:rPr>
        <w:t>15. Shmalberg J, Montalbano C, Morelli G, Buckley GJ. A randomized double blinded placebo-controlled clinical trial of a probiotic or metronidazole for acute canine diarrhea. Front Vet Sci. 2019;6:163. doi:10.3389/fvets.2019.00163.</w:t>
      </w:r>
    </w:p>
    <w:p>
      <w:pPr>
        <w:spacing w:after="180"/>
        <w:jc w:val="left"/>
      </w:pPr>
      <w:hyperlink r:id="rId24">
        <w:r>
          <w:rPr>
            <w:rFonts w:ascii="Times New Roman" w:hAnsi="Times New Roman"/>
            <w:sz w:val="24"/>
          </w:rPr>
          <w:t>https://doi.org/10.3389/fvets.2019.00163</w:t>
        </w:r>
      </w:hyperlink>
    </w:p>
    <w:p>
      <w:pPr>
        <w:keepNext/>
      </w:pPr>
      <w:r>
        <w:rPr>
          <w:b w:val="0"/>
        </w:rPr>
        <w:t>16. Tauro A, Beltran E, Cherubini GB, Coelho AT, Wessmann A, Driver CJ, et al. Metronidazole-induced neurotoxicity in 26 dogs. Aust Vet J. 2018;96(12):495–501. doi:10.1111/avj.12772.</w:t>
      </w:r>
    </w:p>
    <w:p>
      <w:pPr>
        <w:spacing w:after="180"/>
        <w:jc w:val="left"/>
      </w:pPr>
      <w:hyperlink r:id="rId25">
        <w:r>
          <w:rPr>
            <w:rFonts w:ascii="Times New Roman" w:hAnsi="Times New Roman"/>
            <w:sz w:val="24"/>
          </w:rPr>
          <w:t>https://doi.org/10.1111/avj.12772</w:t>
        </w:r>
      </w:hyperlink>
    </w:p>
    <w:p>
      <w:pPr>
        <w:keepNext/>
      </w:pPr>
      <w:r>
        <w:rPr>
          <w:b w:val="0"/>
        </w:rPr>
        <w:t>17. Companion Animal Parasite Council. Cestodes [Internet]. CAPC; 2016 [actualizado 1 nov 2016; citado 21 oct 2026].</w:t>
      </w:r>
    </w:p>
    <w:p>
      <w:pPr>
        <w:spacing w:after="180"/>
        <w:jc w:val="left"/>
      </w:pPr>
      <w:hyperlink r:id="rId26">
        <w:r>
          <w:rPr>
            <w:rFonts w:ascii="Times New Roman" w:hAnsi="Times New Roman"/>
            <w:sz w:val="24"/>
          </w:rPr>
          <w:t>https://capcvet.org/guidelines/cestodes/</w:t>
        </w:r>
      </w:hyperlink>
    </w:p>
    <w:p>
      <w:pPr>
        <w:keepNext/>
      </w:pPr>
      <w:r>
        <w:rPr>
          <w:b w:val="0"/>
        </w:rPr>
        <w:t>18. European Scientific Counsel Companion Animal Parasites. Control de vermes en perros y gatos. Guía ESCCAP 01. 6.ª ed. Malvern: ESCCAP; 2021 [citado 21 oct 2026].</w:t>
      </w:r>
    </w:p>
    <w:p>
      <w:pPr>
        <w:spacing w:after="180"/>
        <w:jc w:val="left"/>
      </w:pPr>
      <w:hyperlink r:id="rId27">
        <w:r>
          <w:rPr>
            <w:rFonts w:ascii="Times New Roman" w:hAnsi="Times New Roman"/>
            <w:sz w:val="24"/>
          </w:rPr>
          <w:t>https://www.esccap.es/wp-content/uploads/2022/03/ESCCAP-1-6ed.pdf</w:t>
        </w:r>
      </w:hyperlink>
    </w:p>
    <w:p>
      <w:pPr>
        <w:keepNext/>
      </w:pPr>
      <w:r>
        <w:rPr>
          <w:b w:val="0"/>
        </w:rPr>
        <w:t>19. Pilla R, Gaschen FP, Barr JW, Olson E, Honneffer J, Guard BC, et al. Effects of metronidazole on the fecal microbiome and metabolome in healthy dogs. J Vet Intern Med. 2020;34(5):1853–1866. doi:10.1111/jvim.15871.</w:t>
      </w:r>
    </w:p>
    <w:p>
      <w:pPr>
        <w:spacing w:after="180"/>
        <w:jc w:val="left"/>
      </w:pPr>
      <w:hyperlink r:id="rId28">
        <w:r>
          <w:rPr>
            <w:rFonts w:ascii="Times New Roman" w:hAnsi="Times New Roman"/>
            <w:sz w:val="24"/>
          </w:rPr>
          <w:t>https://doi.org/10.1111/jvim.15871</w:t>
        </w:r>
      </w:hyperlink>
    </w:p>
    <w:p>
      <w:pPr>
        <w:pStyle w:val="Heading1"/>
        <w:pageBreakBefore/>
      </w:pPr>
      <w:r>
        <w:rPr>
          <w:rFonts w:ascii="Times New Roman" w:hAnsi="Times New Roman"/>
        </w:rPr>
        <w:t>16 Anexos fotográficos</w:t>
      </w:r>
    </w:p>
    <w:p>
      <w:pPr>
        <w:pStyle w:val="Heading2"/>
      </w:pPr>
      <w:r>
        <w:rPr>
          <w:rFonts w:ascii="Times New Roman" w:hAnsi="Times New Roman"/>
        </w:rPr>
        <w:t>16.1 Heces previas a la revisión y al tratamiento</w:t>
      </w:r>
    </w:p>
    <w:p>
      <w:r>
        <w:rPr>
          <w:b w:val="0"/>
        </w:rPr>
        <w:t>Las tres imágenes corresponden a deposiciones previas según el tutor. Las letras identifican fotografías y no una secuencia temporal ni una escala fecal validada.</w:t>
      </w:r>
    </w:p>
    <w:p>
      <w:pPr>
        <w:jc w:val="center"/>
      </w:pPr>
      <w:r>
        <w:drawing>
          <wp:inline xmlns:a="http://schemas.openxmlformats.org/drawingml/2006/main" xmlns:pic="http://schemas.openxmlformats.org/drawingml/2006/picture">
            <wp:extent cx="2022087" cy="1554480"/>
            <wp:docPr id="1" name="Picture 1" descr="WhatsApp Image 2026-10-21 at 10.42.01 PM"/>
            <wp:cNvGraphicFramePr>
              <a:graphicFrameLocks noChangeAspect="1"/>
            </wp:cNvGraphicFramePr>
            <a:graphic>
              <a:graphicData uri="http://schemas.openxmlformats.org/drawingml/2006/picture">
                <pic:pic>
                  <pic:nvPicPr>
                    <pic:cNvPr id="0" name="WhatsApp Image 2026-10-21 at 10.42.01 PM.jpeg"/>
                    <pic:cNvPicPr/>
                  </pic:nvPicPr>
                  <pic:blipFill>
                    <a:blip r:embed="rId29"/>
                    <a:stretch>
                      <a:fillRect/>
                    </a:stretch>
                  </pic:blipFill>
                  <pic:spPr>
                    <a:xfrm>
                      <a:off x="0" y="0"/>
                      <a:ext cx="2022087" cy="1554480"/>
                    </a:xfrm>
                    <a:prstGeom prst="rect"/>
                  </pic:spPr>
                </pic:pic>
              </a:graphicData>
            </a:graphic>
          </wp:inline>
        </w:drawing>
      </w:r>
    </w:p>
    <w:p>
      <w:pPr>
        <w:pStyle w:val="Caption"/>
      </w:pPr>
      <w:r>
        <w:rPr>
          <w:b w:val="0"/>
        </w:rPr>
        <w:t>Figura A. Material fecal oscuro, brillante y de consistencia aparentemente blanda. Fuente: fotografía aportada por el tutor.</w:t>
      </w:r>
    </w:p>
    <w:p>
      <w:pPr>
        <w:jc w:val="center"/>
      </w:pPr>
      <w:r>
        <w:drawing>
          <wp:inline xmlns:a="http://schemas.openxmlformats.org/drawingml/2006/main" xmlns:pic="http://schemas.openxmlformats.org/drawingml/2006/picture">
            <wp:extent cx="1599242" cy="1554480"/>
            <wp:docPr id="2" name="Picture 2" descr="WhatsApp Image 2026-10-21 at 10.42.01 PM (2)"/>
            <wp:cNvGraphicFramePr>
              <a:graphicFrameLocks noChangeAspect="1"/>
            </wp:cNvGraphicFramePr>
            <a:graphic>
              <a:graphicData uri="http://schemas.openxmlformats.org/drawingml/2006/picture">
                <pic:pic>
                  <pic:nvPicPr>
                    <pic:cNvPr id="0" name="WhatsApp Image 2026-10-21 at 10.42.01 PM (2).jpeg"/>
                    <pic:cNvPicPr/>
                  </pic:nvPicPr>
                  <pic:blipFill>
                    <a:blip r:embed="rId30"/>
                    <a:stretch>
                      <a:fillRect/>
                    </a:stretch>
                  </pic:blipFill>
                  <pic:spPr>
                    <a:xfrm>
                      <a:off x="0" y="0"/>
                      <a:ext cx="1599242" cy="1554480"/>
                    </a:xfrm>
                    <a:prstGeom prst="rect"/>
                  </pic:spPr>
                </pic:pic>
              </a:graphicData>
            </a:graphic>
          </wp:inline>
        </w:drawing>
      </w:r>
    </w:p>
    <w:p>
      <w:pPr>
        <w:pStyle w:val="Caption"/>
      </w:pPr>
      <w:r>
        <w:rPr>
          <w:b w:val="0"/>
        </w:rPr>
        <w:t>Figura B. Material poco formado con componente líquido o mucoso visible. Fuente: fotografía aportada por el tutor.</w:t>
      </w:r>
    </w:p>
    <w:p>
      <w:pPr>
        <w:jc w:val="center"/>
      </w:pPr>
      <w:r>
        <w:drawing>
          <wp:inline xmlns:a="http://schemas.openxmlformats.org/drawingml/2006/main" xmlns:pic="http://schemas.openxmlformats.org/drawingml/2006/picture">
            <wp:extent cx="1379600" cy="1554479"/>
            <wp:docPr id="3" name="Picture 3" descr="WhatsApp Image 2026-10-21 at 10.42.01 PM (1)"/>
            <wp:cNvGraphicFramePr>
              <a:graphicFrameLocks noChangeAspect="1"/>
            </wp:cNvGraphicFramePr>
            <a:graphic>
              <a:graphicData uri="http://schemas.openxmlformats.org/drawingml/2006/picture">
                <pic:pic>
                  <pic:nvPicPr>
                    <pic:cNvPr id="0" name="WhatsApp Image 2026-10-21 at 10.42.01 PM (1).jpeg"/>
                    <pic:cNvPicPr/>
                  </pic:nvPicPr>
                  <pic:blipFill>
                    <a:blip r:embed="rId31"/>
                    <a:stretch>
                      <a:fillRect/>
                    </a:stretch>
                  </pic:blipFill>
                  <pic:spPr>
                    <a:xfrm>
                      <a:off x="0" y="0"/>
                      <a:ext cx="1379600" cy="1554479"/>
                    </a:xfrm>
                    <a:prstGeom prst="rect"/>
                  </pic:spPr>
                </pic:pic>
              </a:graphicData>
            </a:graphic>
          </wp:inline>
        </w:drawing>
      </w:r>
    </w:p>
    <w:p>
      <w:pPr>
        <w:pStyle w:val="Caption"/>
      </w:pPr>
      <w:r>
        <w:rPr>
          <w:b w:val="0"/>
        </w:rPr>
        <w:t>Figura C. Fragmentos fecales más formados y de coloración heterogénea. Fuente: fotografía aportada por el tutor.</w:t>
      </w:r>
    </w:p>
    <w:p>
      <w:r>
        <w:rPr>
          <w:b w:val="0"/>
        </w:rPr>
        <w:t>El aspecto visual no confirma melena, sangre, especie parasitaria ni etiología bacteriana. La exposición, la iluminación y el tiempo sobre la superficie modifican el color aparente.</w:t>
      </w:r>
    </w:p>
    <w:p>
      <w:pPr>
        <w:pStyle w:val="Heading2"/>
        <w:pageBreakBefore/>
      </w:pPr>
      <w:r>
        <w:rPr>
          <w:rFonts w:ascii="Times New Roman" w:hAnsi="Times New Roman"/>
        </w:rPr>
        <w:t>16.2 Ares y documentación de atención</w:t>
      </w:r>
    </w:p>
    <w:p>
      <w:pPr>
        <w:jc w:val="center"/>
      </w:pPr>
      <w:r>
        <w:drawing>
          <wp:inline xmlns:a="http://schemas.openxmlformats.org/drawingml/2006/main" xmlns:pic="http://schemas.openxmlformats.org/drawingml/2006/picture">
            <wp:extent cx="2569464" cy="3657600"/>
            <wp:docPr id="4" name="Picture 4" descr="image(20261022-040531)"/>
            <wp:cNvGraphicFramePr>
              <a:graphicFrameLocks noChangeAspect="1"/>
            </wp:cNvGraphicFramePr>
            <a:graphic>
              <a:graphicData uri="http://schemas.openxmlformats.org/drawingml/2006/picture">
                <pic:pic>
                  <pic:nvPicPr>
                    <pic:cNvPr id="0" name="image(20261022-040531).png"/>
                    <pic:cNvPicPr/>
                  </pic:nvPicPr>
                  <pic:blipFill>
                    <a:blip r:embed="rId32"/>
                    <a:stretch>
                      <a:fillRect/>
                    </a:stretch>
                  </pic:blipFill>
                  <pic:spPr>
                    <a:xfrm>
                      <a:off x="0" y="0"/>
                      <a:ext cx="2569464" cy="3657600"/>
                    </a:xfrm>
                    <a:prstGeom prst="rect"/>
                  </pic:spPr>
                </pic:pic>
              </a:graphicData>
            </a:graphic>
          </wp:inline>
        </w:drawing>
      </w:r>
    </w:p>
    <w:p>
      <w:pPr>
        <w:pStyle w:val="Caption"/>
      </w:pPr>
      <w:r>
        <w:rPr>
          <w:b w:val="0"/>
        </w:rPr>
        <w:t>Figura D. Fotografía reciente de Ares aportada por el tutor junto con el reporte de mejoría y peso final de 22 kg. La imagen documenta su aspecto, sin sustituir un examen clínico.</w:t>
      </w:r>
    </w:p>
    <w:p>
      <w:pPr>
        <w:jc w:val="center"/>
      </w:pPr>
      <w:r>
        <w:drawing>
          <wp:inline xmlns:a="http://schemas.openxmlformats.org/drawingml/2006/main" xmlns:pic="http://schemas.openxmlformats.org/drawingml/2006/picture">
            <wp:extent cx="2057400" cy="2743200"/>
            <wp:docPr id="5" name="Picture 5" descr="image(20261022-041444)"/>
            <wp:cNvGraphicFramePr>
              <a:graphicFrameLocks noChangeAspect="1"/>
            </wp:cNvGraphicFramePr>
            <a:graphic>
              <a:graphicData uri="http://schemas.openxmlformats.org/drawingml/2006/picture">
                <pic:pic>
                  <pic:nvPicPr>
                    <pic:cNvPr id="0" name="image(20261022-041444).png"/>
                    <pic:cNvPicPr/>
                  </pic:nvPicPr>
                  <pic:blipFill>
                    <a:blip r:embed="rId33"/>
                    <a:stretch>
                      <a:fillRect/>
                    </a:stretch>
                  </pic:blipFill>
                  <pic:spPr>
                    <a:xfrm>
                      <a:off x="0" y="0"/>
                      <a:ext cx="2057400" cy="2743200"/>
                    </a:xfrm>
                    <a:prstGeom prst="rect"/>
                  </pic:spPr>
                </pic:pic>
              </a:graphicData>
            </a:graphic>
          </wp:inline>
        </w:drawing>
      </w:r>
    </w:p>
    <w:p>
      <w:pPr>
        <w:pStyle w:val="Caption"/>
      </w:pPr>
      <w:r>
        <w:rPr>
          <w:b w:val="0"/>
        </w:rPr>
        <w:t>Figura E. Registro fotográfico de la atención o práctica clínica con Ares. No se asigna una fecha ni un procedimiento específico que no conste de forma verificable. Fuente: archivo del tutor.</w:t>
      </w:r>
    </w:p>
    <w:p>
      <w:pPr>
        <w:pStyle w:val="Heading1"/>
        <w:pageBreakBefore/>
      </w:pPr>
      <w:r>
        <w:rPr>
          <w:rFonts w:ascii="Times New Roman" w:hAnsi="Times New Roman"/>
        </w:rPr>
        <w:t>17 Anexos de cálculos manuscritos</w:t>
      </w:r>
    </w:p>
    <w:p>
      <w:r>
        <w:rPr>
          <w:b w:val="0"/>
        </w:rPr>
        <w:t>Se conservan los siete anexos originales de las seis fichas. Documentan el trabajo académico del equipo. Las discrepancias con la pauta reportada se analizan en las secciones 9 y 10; una anotación manuscrita no acredita administración ni constituye una prescripción actual.</w:t>
      </w:r>
    </w:p>
    <w:p>
      <w:pPr>
        <w:jc w:val="center"/>
      </w:pPr>
      <w:r>
        <w:drawing>
          <wp:inline xmlns:a="http://schemas.openxmlformats.org/drawingml/2006/main" xmlns:pic="http://schemas.openxmlformats.org/drawingml/2006/picture">
            <wp:extent cx="5245691" cy="6537960"/>
            <wp:docPr id="6" name="Picture 6" descr="Ares image1"/>
            <wp:cNvGraphicFramePr>
              <a:graphicFrameLocks noChangeAspect="1"/>
            </wp:cNvGraphicFramePr>
            <a:graphic>
              <a:graphicData uri="http://schemas.openxmlformats.org/drawingml/2006/picture">
                <pic:pic>
                  <pic:nvPicPr>
                    <pic:cNvPr id="0" name="Ares_image1.jpeg"/>
                    <pic:cNvPicPr/>
                  </pic:nvPicPr>
                  <pic:blipFill>
                    <a:blip r:embed="rId34"/>
                    <a:stretch>
                      <a:fillRect/>
                    </a:stretch>
                  </pic:blipFill>
                  <pic:spPr>
                    <a:xfrm>
                      <a:off x="0" y="0"/>
                      <a:ext cx="5245691" cy="6537960"/>
                    </a:xfrm>
                    <a:prstGeom prst="rect"/>
                  </pic:spPr>
                </pic:pic>
              </a:graphicData>
            </a:graphic>
          </wp:inline>
        </w:drawing>
      </w:r>
    </w:p>
    <w:p>
      <w:pPr>
        <w:pStyle w:val="Caption"/>
      </w:pPr>
      <w:r>
        <w:rPr>
          <w:b w:val="0"/>
        </w:rPr>
        <w:t>Figura F. Cálculo de sulfametoxazol de Robinson Macas. El volumen de 3,24 mL es académico; el tutor reportó 3 mL por toma. Fuente: ficha individual del equipo.</w:t>
      </w:r>
    </w:p>
    <w:p>
      <w:pPr>
        <w:pStyle w:val="Heading1"/>
        <w:pageBreakBefore/>
      </w:pPr>
      <w:r>
        <w:rPr>
          <w:rFonts w:ascii="Times New Roman" w:hAnsi="Times New Roman"/>
        </w:rPr>
        <w:t>17 Anexos de cálculos manuscritos</w:t>
      </w:r>
    </w:p>
    <w:p>
      <w:pPr>
        <w:jc w:val="center"/>
      </w:pPr>
      <w:r>
        <w:drawing>
          <wp:inline xmlns:a="http://schemas.openxmlformats.org/drawingml/2006/main" xmlns:pic="http://schemas.openxmlformats.org/drawingml/2006/picture">
            <wp:extent cx="5298833" cy="6995159"/>
            <wp:docPr id="7" name="Picture 7" descr="Kris image1"/>
            <wp:cNvGraphicFramePr>
              <a:graphicFrameLocks noChangeAspect="1"/>
            </wp:cNvGraphicFramePr>
            <a:graphic>
              <a:graphicData uri="http://schemas.openxmlformats.org/drawingml/2006/picture">
                <pic:pic>
                  <pic:nvPicPr>
                    <pic:cNvPr id="0" name="Kris_image1.jpeg"/>
                    <pic:cNvPicPr/>
                  </pic:nvPicPr>
                  <pic:blipFill>
                    <a:blip r:embed="rId35"/>
                    <a:stretch>
                      <a:fillRect/>
                    </a:stretch>
                  </pic:blipFill>
                  <pic:spPr>
                    <a:xfrm>
                      <a:off x="0" y="0"/>
                      <a:ext cx="5298833" cy="6995159"/>
                    </a:xfrm>
                    <a:prstGeom prst="rect"/>
                  </pic:spPr>
                </pic:pic>
              </a:graphicData>
            </a:graphic>
          </wp:inline>
        </w:drawing>
      </w:r>
    </w:p>
    <w:p>
      <w:pPr>
        <w:pStyle w:val="Caption"/>
      </w:pPr>
      <w:r>
        <w:rPr>
          <w:b w:val="0"/>
        </w:rPr>
        <w:t>Figura G. Primer anexo de trimetoprim de Kristhel Procel. Se conserva como ejercicio académico de Bactrivet. Fuente: ficha individual del equipo.</w:t>
      </w:r>
    </w:p>
    <w:p>
      <w:pPr>
        <w:pStyle w:val="Heading1"/>
        <w:pageBreakBefore/>
      </w:pPr>
      <w:r>
        <w:rPr>
          <w:rFonts w:ascii="Times New Roman" w:hAnsi="Times New Roman"/>
        </w:rPr>
        <w:t>17 Anexos de cálculos manuscritos</w:t>
      </w:r>
    </w:p>
    <w:p>
      <w:pPr>
        <w:jc w:val="center"/>
      </w:pPr>
      <w:r>
        <w:drawing>
          <wp:inline xmlns:a="http://schemas.openxmlformats.org/drawingml/2006/main" xmlns:pic="http://schemas.openxmlformats.org/drawingml/2006/picture">
            <wp:extent cx="5943600" cy="4063936"/>
            <wp:docPr id="8" name="Picture 8" descr="Kris image2"/>
            <wp:cNvGraphicFramePr>
              <a:graphicFrameLocks noChangeAspect="1"/>
            </wp:cNvGraphicFramePr>
            <a:graphic>
              <a:graphicData uri="http://schemas.openxmlformats.org/drawingml/2006/picture">
                <pic:pic>
                  <pic:nvPicPr>
                    <pic:cNvPr id="0" name="Kris_image2.jpeg"/>
                    <pic:cNvPicPr/>
                  </pic:nvPicPr>
                  <pic:blipFill>
                    <a:blip r:embed="rId36"/>
                    <a:stretch>
                      <a:fillRect/>
                    </a:stretch>
                  </pic:blipFill>
                  <pic:spPr>
                    <a:xfrm>
                      <a:off x="0" y="0"/>
                      <a:ext cx="5943600" cy="4063936"/>
                    </a:xfrm>
                    <a:prstGeom prst="rect"/>
                  </pic:spPr>
                </pic:pic>
              </a:graphicData>
            </a:graphic>
          </wp:inline>
        </w:drawing>
      </w:r>
    </w:p>
    <w:p>
      <w:pPr>
        <w:pStyle w:val="Caption"/>
      </w:pPr>
      <w:r>
        <w:rPr>
          <w:b w:val="0"/>
        </w:rPr>
        <w:t>Figura H. Segundo anexo de trimetoprim de Kristhel Procel. Los cálculos alternativos no documentan un diagnóstico de coccidiosis ni una pauta administrada. Fuente: ficha individual del equipo.</w:t>
      </w:r>
    </w:p>
    <w:p>
      <w:pPr>
        <w:pStyle w:val="Heading1"/>
        <w:pageBreakBefore/>
      </w:pPr>
      <w:r>
        <w:rPr>
          <w:rFonts w:ascii="Times New Roman" w:hAnsi="Times New Roman"/>
        </w:rPr>
        <w:t>17 Anexos de cálculos manuscritos</w:t>
      </w:r>
    </w:p>
    <w:p>
      <w:pPr>
        <w:jc w:val="center"/>
      </w:pPr>
      <w:r>
        <w:drawing>
          <wp:inline xmlns:a="http://schemas.openxmlformats.org/drawingml/2006/main" xmlns:pic="http://schemas.openxmlformats.org/drawingml/2006/picture">
            <wp:extent cx="5943600" cy="5505259"/>
            <wp:docPr id="9" name="Picture 9" descr="Carolina image1"/>
            <wp:cNvGraphicFramePr>
              <a:graphicFrameLocks noChangeAspect="1"/>
            </wp:cNvGraphicFramePr>
            <a:graphic>
              <a:graphicData uri="http://schemas.openxmlformats.org/drawingml/2006/picture">
                <pic:pic>
                  <pic:nvPicPr>
                    <pic:cNvPr id="0" name="Carolina_image1.png"/>
                    <pic:cNvPicPr/>
                  </pic:nvPicPr>
                  <pic:blipFill>
                    <a:blip r:embed="rId37"/>
                    <a:stretch>
                      <a:fillRect/>
                    </a:stretch>
                  </pic:blipFill>
                  <pic:spPr>
                    <a:xfrm>
                      <a:off x="0" y="0"/>
                      <a:ext cx="5943600" cy="5505259"/>
                    </a:xfrm>
                    <a:prstGeom prst="rect"/>
                  </pic:spPr>
                </pic:pic>
              </a:graphicData>
            </a:graphic>
          </wp:inline>
        </w:drawing>
      </w:r>
    </w:p>
    <w:p>
      <w:pPr>
        <w:pStyle w:val="Caption"/>
      </w:pPr>
      <w:r>
        <w:rPr>
          <w:b w:val="0"/>
        </w:rPr>
        <w:t>Figura I. Cálculo de metronidazol de Carolina Cajamarca. La frecuencia cada 12 horas difiere de la toma diaria reportada y no se adopta como administración real. Fuente: ficha individual del equipo.</w:t>
      </w:r>
    </w:p>
    <w:p>
      <w:pPr>
        <w:pStyle w:val="Heading1"/>
        <w:pageBreakBefore/>
      </w:pPr>
      <w:r>
        <w:rPr>
          <w:rFonts w:ascii="Times New Roman" w:hAnsi="Times New Roman"/>
        </w:rPr>
        <w:t>17 Anexos de cálculos manuscritos</w:t>
      </w:r>
    </w:p>
    <w:p>
      <w:pPr>
        <w:jc w:val="center"/>
      </w:pPr>
      <w:r>
        <w:drawing>
          <wp:inline xmlns:a="http://schemas.openxmlformats.org/drawingml/2006/main" xmlns:pic="http://schemas.openxmlformats.org/drawingml/2006/picture">
            <wp:extent cx="5246370" cy="6995159"/>
            <wp:docPr id="10" name="Picture 10" descr="Tiffany image1"/>
            <wp:cNvGraphicFramePr>
              <a:graphicFrameLocks noChangeAspect="1"/>
            </wp:cNvGraphicFramePr>
            <a:graphic>
              <a:graphicData uri="http://schemas.openxmlformats.org/drawingml/2006/picture">
                <pic:pic>
                  <pic:nvPicPr>
                    <pic:cNvPr id="0" name="Tiffany_image1.jpeg"/>
                    <pic:cNvPicPr/>
                  </pic:nvPicPr>
                  <pic:blipFill>
                    <a:blip r:embed="rId38"/>
                    <a:stretch>
                      <a:fillRect/>
                    </a:stretch>
                  </pic:blipFill>
                  <pic:spPr>
                    <a:xfrm>
                      <a:off x="0" y="0"/>
                      <a:ext cx="5246370" cy="6995159"/>
                    </a:xfrm>
                    <a:prstGeom prst="rect"/>
                  </pic:spPr>
                </pic:pic>
              </a:graphicData>
            </a:graphic>
          </wp:inline>
        </w:drawing>
      </w:r>
    </w:p>
    <w:p>
      <w:pPr>
        <w:pStyle w:val="Caption"/>
      </w:pPr>
      <w:r>
        <w:rPr>
          <w:b w:val="0"/>
        </w:rPr>
        <w:t>Figura J. Cálculo de praziquantel de Tiffany Machuca. El volumen corresponde al producto Relámpago combinado; el volumen real no quedó confirmado. Fuente: ficha individual del equipo.</w:t>
      </w:r>
    </w:p>
    <w:p>
      <w:pPr>
        <w:pStyle w:val="Heading1"/>
        <w:pageBreakBefore/>
      </w:pPr>
      <w:r>
        <w:rPr>
          <w:rFonts w:ascii="Times New Roman" w:hAnsi="Times New Roman"/>
        </w:rPr>
        <w:t>17 Anexos de cálculos manuscritos</w:t>
      </w:r>
    </w:p>
    <w:p>
      <w:pPr>
        <w:jc w:val="center"/>
      </w:pPr>
      <w:r>
        <w:drawing>
          <wp:inline xmlns:a="http://schemas.openxmlformats.org/drawingml/2006/main" xmlns:pic="http://schemas.openxmlformats.org/drawingml/2006/picture">
            <wp:extent cx="5141442" cy="6995159"/>
            <wp:docPr id="11" name="Picture 11" descr="Samira image1"/>
            <wp:cNvGraphicFramePr>
              <a:graphicFrameLocks noChangeAspect="1"/>
            </wp:cNvGraphicFramePr>
            <a:graphic>
              <a:graphicData uri="http://schemas.openxmlformats.org/drawingml/2006/picture">
                <pic:pic>
                  <pic:nvPicPr>
                    <pic:cNvPr id="0" name="Samira_image1.jpg"/>
                    <pic:cNvPicPr/>
                  </pic:nvPicPr>
                  <pic:blipFill>
                    <a:blip r:embed="rId39"/>
                    <a:stretch>
                      <a:fillRect/>
                    </a:stretch>
                  </pic:blipFill>
                  <pic:spPr>
                    <a:xfrm>
                      <a:off x="0" y="0"/>
                      <a:ext cx="5141442" cy="6995159"/>
                    </a:xfrm>
                    <a:prstGeom prst="rect"/>
                  </pic:spPr>
                </pic:pic>
              </a:graphicData>
            </a:graphic>
          </wp:inline>
        </w:drawing>
      </w:r>
    </w:p>
    <w:p>
      <w:pPr>
        <w:pStyle w:val="Caption"/>
      </w:pPr>
      <w:r>
        <w:rPr>
          <w:b w:val="0"/>
        </w:rPr>
        <w:t>Figura K. Cálculo de pamoato de pirantel de Samira Yunga. Los miligramos de pamoato no se equiparan sin conversión a pirantel base. Fuente: ficha individual del equipo.</w:t>
      </w:r>
    </w:p>
    <w:p>
      <w:pPr>
        <w:pStyle w:val="Heading1"/>
        <w:pageBreakBefore/>
      </w:pPr>
      <w:r>
        <w:rPr>
          <w:rFonts w:ascii="Times New Roman" w:hAnsi="Times New Roman"/>
        </w:rPr>
        <w:t>17 Anexos de cálculos manuscritos</w:t>
      </w:r>
    </w:p>
    <w:p>
      <w:pPr>
        <w:jc w:val="center"/>
      </w:pPr>
      <w:r>
        <w:drawing>
          <wp:inline xmlns:a="http://schemas.openxmlformats.org/drawingml/2006/main" xmlns:pic="http://schemas.openxmlformats.org/drawingml/2006/picture">
            <wp:extent cx="5246370" cy="6995159"/>
            <wp:docPr id="12" name="Picture 12" descr="Jhon image1"/>
            <wp:cNvGraphicFramePr>
              <a:graphicFrameLocks noChangeAspect="1"/>
            </wp:cNvGraphicFramePr>
            <a:graphic>
              <a:graphicData uri="http://schemas.openxmlformats.org/drawingml/2006/picture">
                <pic:pic>
                  <pic:nvPicPr>
                    <pic:cNvPr id="0" name="Jhon_image1.png"/>
                    <pic:cNvPicPr/>
                  </pic:nvPicPr>
                  <pic:blipFill>
                    <a:blip r:embed="rId40"/>
                    <a:stretch>
                      <a:fillRect/>
                    </a:stretch>
                  </pic:blipFill>
                  <pic:spPr>
                    <a:xfrm>
                      <a:off x="0" y="0"/>
                      <a:ext cx="5246370" cy="6995159"/>
                    </a:xfrm>
                    <a:prstGeom prst="rect"/>
                  </pic:spPr>
                </pic:pic>
              </a:graphicData>
            </a:graphic>
          </wp:inline>
        </w:drawing>
      </w:r>
    </w:p>
    <w:p>
      <w:pPr>
        <w:pStyle w:val="Caption"/>
      </w:pPr>
      <w:r>
        <w:rPr>
          <w:b w:val="0"/>
        </w:rPr>
        <w:t>Figura L. Cálculo de Apetomax de Jhon Balcázar. La ficha calcula 7,20 mL y el tutor reportó 7 mL diarios; sulfato ferroso no equivale automáticamente a hierro elemental. Fuente: ficha individual del equipo.</w:t>
      </w:r>
    </w:p>
    <w:sectPr w:rsidR="00FC693F" w:rsidRPr="0006063C" w:rsidSect="00034616">
      <w:footerReference w:type="default" r:id="rId9"/>
      <w:pgSz w:w="12240" w:h="15840"/>
      <w:pgMar w:top="1152" w:right="1296" w:bottom="1080" w:left="129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69" w:lineRule="auto"/>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69" w:lineRule="auto"/>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9" w:lineRule="auto" w:after="140"/>
      <w:jc w:val="left"/>
    </w:pPr>
    <w:rPr>
      <w:rFonts w:ascii="Times New Roman" w:hAnsi="Times New Roman" w:eastAsia="Times New Roman"/>
      <w:b/>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earch.worldcat.org/es/title/Plumb%27s-veterinary-drug-handbook/oclc/440588470" TargetMode="External"/><Relationship Id="rId11" Type="http://schemas.openxmlformats.org/officeDocument/2006/relationships/hyperlink" Target="https://doi.org/10.1016/j.tvjl.2024.106208" TargetMode="External"/><Relationship Id="rId12" Type="http://schemas.openxmlformats.org/officeDocument/2006/relationships/hyperlink" Target="https://eclinpath.com/hematology/morphologic-features/white-blood-cells/left-shift/" TargetMode="External"/><Relationship Id="rId13" Type="http://schemas.openxmlformats.org/officeDocument/2006/relationships/hyperlink" Target="https://doi.org/10.1016/j.tvjl.2019.02.008" TargetMode="External"/><Relationship Id="rId14" Type="http://schemas.openxmlformats.org/officeDocument/2006/relationships/hyperlink" Target="https://capcvet.org/guidelines/hookworms/" TargetMode="External"/><Relationship Id="rId15" Type="http://schemas.openxmlformats.org/officeDocument/2006/relationships/hyperlink" Target="https://eclinpath.com/chemistry/iron-metabolism/iron-panel-summary/" TargetMode="External"/><Relationship Id="rId16" Type="http://schemas.openxmlformats.org/officeDocument/2006/relationships/hyperlink" Target="https://www.merckvetmanual.com/es-us/aparato-digestivo/introducci&#243;n-al-aparato-digestivo/el-aparato-digestivo-en-animales" TargetMode="External"/><Relationship Id="rId17" Type="http://schemas.openxmlformats.org/officeDocument/2006/relationships/hyperlink" Target="https://farbiopharma.com/wp-content/uploads/2023/01/F.T.-BACTRIVET-FARBIOVET-V0..pdf" TargetMode="External"/><Relationship Id="rId18" Type="http://schemas.openxmlformats.org/officeDocument/2006/relationships/hyperlink" Target="https://jamesbrownpharma.com/producto/relampago/" TargetMode="External"/><Relationship Id="rId19" Type="http://schemas.openxmlformats.org/officeDocument/2006/relationships/hyperlink" Target="https://favetex.com/wp-content/uploads/2026/04/Apetomax.pdf" TargetMode="External"/><Relationship Id="rId20" Type="http://schemas.openxmlformats.org/officeDocument/2006/relationships/hyperlink" Target="https://www.experiencia.vet/Detail?id=4" TargetMode="External"/><Relationship Id="rId21" Type="http://schemas.openxmlformats.org/officeDocument/2006/relationships/hyperlink" Target="https://doi.org/10.1007/s11259-026-11143-1" TargetMode="External"/><Relationship Id="rId22" Type="http://schemas.openxmlformats.org/officeDocument/2006/relationships/hyperlink" Target="https://capcvet.org/guidelines/giardia/" TargetMode="External"/><Relationship Id="rId23" Type="http://schemas.openxmlformats.org/officeDocument/2006/relationships/hyperlink" Target="https://doi.org/10.1111/jvim.15664" TargetMode="External"/><Relationship Id="rId24" Type="http://schemas.openxmlformats.org/officeDocument/2006/relationships/hyperlink" Target="https://doi.org/10.3389/fvets.2019.00163" TargetMode="External"/><Relationship Id="rId25" Type="http://schemas.openxmlformats.org/officeDocument/2006/relationships/hyperlink" Target="https://doi.org/10.1111/avj.12772" TargetMode="External"/><Relationship Id="rId26" Type="http://schemas.openxmlformats.org/officeDocument/2006/relationships/hyperlink" Target="https://capcvet.org/guidelines/cestodes/" TargetMode="External"/><Relationship Id="rId27" Type="http://schemas.openxmlformats.org/officeDocument/2006/relationships/hyperlink" Target="https://www.esccap.es/wp-content/uploads/2022/03/ESCCAP-1-6ed.pdf" TargetMode="External"/><Relationship Id="rId28" Type="http://schemas.openxmlformats.org/officeDocument/2006/relationships/hyperlink" Target="https://doi.org/10.1111/jvim.15871" TargetMode="External"/><Relationship Id="rId29" Type="http://schemas.openxmlformats.org/officeDocument/2006/relationships/image" Target="media/image1.jpeg"/><Relationship Id="rId30" Type="http://schemas.openxmlformats.org/officeDocument/2006/relationships/image" Target="media/image2.jpeg"/><Relationship Id="rId31" Type="http://schemas.openxmlformats.org/officeDocument/2006/relationships/image" Target="media/image3.jpeg"/><Relationship Id="rId32" Type="http://schemas.openxmlformats.org/officeDocument/2006/relationships/image" Target="media/image4.png"/><Relationship Id="rId33" Type="http://schemas.openxmlformats.org/officeDocument/2006/relationships/image" Target="media/image5.png"/><Relationship Id="rId34" Type="http://schemas.openxmlformats.org/officeDocument/2006/relationships/image" Target="media/image6.jpeg"/><Relationship Id="rId35" Type="http://schemas.openxmlformats.org/officeDocument/2006/relationships/image" Target="media/image7.jpeg"/><Relationship Id="rId36" Type="http://schemas.openxmlformats.org/officeDocument/2006/relationships/image" Target="media/image8.jpeg"/><Relationship Id="rId37" Type="http://schemas.openxmlformats.org/officeDocument/2006/relationships/image" Target="media/image9.png"/><Relationship Id="rId38" Type="http://schemas.openxmlformats.org/officeDocument/2006/relationships/image" Target="media/image10.jpeg"/><Relationship Id="rId39" Type="http://schemas.openxmlformats.org/officeDocument/2006/relationships/image" Target="media/image11.jpg"/><Relationship Id="rId4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farmacológico del caso Ares</dc:title>
  <dc:subject>Tesina de Farmacología II</dc:subject>
  <dc:creator>Juan José Bajaña Chuno y equipo de Farmacología II</dc:creator>
  <cp:keywords>Ares, farmacología veterinaria, diarrea, sulfonamidas, antiparasitarios</cp:keywords>
  <dc:description>generated by python-docx</dc:description>
  <cp:lastModifiedBy/>
  <cp:revision>1</cp:revision>
  <dcterms:created xsi:type="dcterms:W3CDTF">2013-12-23T23:15:00Z</dcterms:created>
  <dcterms:modified xsi:type="dcterms:W3CDTF">2013-12-23T23:15:00Z</dcterms:modified>
  <cp:category/>
</cp:coreProperties>
</file>