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ind w:leftChars="0" w:left="0"/>
        <w:jc w:val="center"/>
        <w:spacing w:after="0" w:line="240" w:lineRule="atLeast"/>
        <w:rPr>
          <w:rFonts w:ascii="돋움체" w:eastAsia="돋움체" w:hAnsi="돋움체" w:hint="eastAsia"/>
          <w:w w:val="90"/>
          <w:rtl w:val="off"/>
        </w:rPr>
      </w:pPr>
      <w:r>
        <w:rPr>
          <w:rFonts w:ascii="돋움체" w:eastAsia="돋움체" w:hAnsi="돋움체" w:hint="eastAsia"/>
          <w:b/>
          <w:bCs/>
          <w:w w:val="90"/>
          <w:sz w:val="40"/>
          <w:szCs w:val="40"/>
          <w:rtl w:val="off"/>
        </w:rPr>
        <w:t>6LoWPAN</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6LoWPAN은 IETF의 워킹 그룹 중 하나이며, IEEE 802.15.4로 대표되는 저전력 무선 사설 네트워크(Low-power Wireless Personal Area Network), 센서 네트워크 위에서 인터넷 프로토콜을 사용하기 위한 아키텍처 등을 표준화하고 있는 단체이다.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b/>
          <w:bCs/>
          <w:w w:val="90"/>
          <w:sz w:val="28"/>
          <w:szCs w:val="28"/>
          <w:rtl w:val="off"/>
        </w:rPr>
      </w:pPr>
      <w:r>
        <w:drawing>
          <wp:anchor distT="0" distB="0" distL="114300" distR="114300" behindDoc="0" locked="0" layoutInCell="1" simplePos="0" relativeHeight="251660288" allowOverlap="1" hidden="0">
            <wp:simplePos x="0" y="0"/>
            <wp:positionH relativeFrom="column">
              <wp:posOffset>3025518</wp:posOffset>
            </wp:positionH>
            <wp:positionV relativeFrom="paragraph">
              <wp:posOffset>16059</wp:posOffset>
            </wp:positionV>
            <wp:extent cx="768145" cy="408762"/>
            <wp:effectExtent l="0" t="0" r="0" b="0"/>
            <wp:wrapSquare wrapText="bothSides"/>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768145" cy="408762"/>
                    </a:xfrm>
                    <a:prstGeom prst="rect"/>
                  </pic:spPr>
                </pic:pic>
              </a:graphicData>
            </a:graphic>
          </wp:anchor>
        </w:drawing>
      </w:r>
      <w:r>
        <w:rPr>
          <w:rFonts w:ascii="돋움체" w:eastAsia="돋움체" w:hAnsi="돋움체" w:hint="eastAsia"/>
          <w:b/>
          <w:bCs/>
          <w:w w:val="90"/>
          <w:sz w:val="28"/>
          <w:szCs w:val="28"/>
          <w:rtl w:val="off"/>
        </w:rPr>
        <w:t>IETF 6LoWPAN Working Group</w:t>
      </w: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http://tools.ietf.org/wg/6lowpan</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b/>
          <w:bCs/>
          <w:w w:val="90"/>
          <w:sz w:val="28"/>
          <w:szCs w:val="28"/>
          <w:rtl w:val="off"/>
        </w:rPr>
        <w:t>표준 문서</w:t>
      </w:r>
    </w:p>
    <w:p>
      <w:pPr>
        <w:pStyle w:val="af1"/>
        <w:ind w:leftChars="154" w:left="598" w:rightChars="0" w:right="0" w:hanging="28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RFC 4919</w:t>
      </w:r>
    </w:p>
    <w:p>
      <w:pPr>
        <w:pStyle w:val="af1"/>
        <w:ind w:leftChars="154" w:left="598" w:rightChars="0" w:right="0" w:hanging="28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RFC 4944: 제목은 'Transmission of IPv6 Packet over IEEE 802.15.4 Networks'이며, 최소 MTU가 1280 옥텟인 IPv6 패킷을 페이로드에 최대 127 옥텟을 담을 수 있는 IEEE 802.15.4 프레임에 전송하기 위한 헤더 압축, 링크 단계 단편화/재조립 메커니즘 등을 수행하는 6LoWPAN 애플리케이션 계층을 정의하고 있다.</w:t>
      </w:r>
    </w:p>
    <w:p>
      <w:pPr>
        <w:pStyle w:val="af1"/>
        <w:ind w:leftChars="154" w:left="598" w:rightChars="0" w:right="0" w:hanging="28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draft-ietf-6lowpan-nd: 일반적인 신뢰성 있는 링크(가령, 이더넷 등)를 가정하고 동작하는 IPv6 Neighbor Discovery 프로토콜은 멀티캐스트를 기반으로 하고 있기 때문에 LoWPAN에는 잘 맞지 않다. 이 드래프트는 '6LoWPAN Neighbor Discovery'에 관한 것으로 멀티캐스트의 사용을 지양하고, LoWPAN 영역에 대해서는 그 경계에 있는 경계 라우터 (Edge Router)에 Neighbor Discovery에 관한 기능을 집중시켰다.</w:t>
      </w:r>
    </w:p>
    <w:p>
      <w:pPr>
        <w:pStyle w:val="af1"/>
        <w:ind w:leftChars="154" w:left="598" w:rightChars="0" w:right="0" w:hanging="289" w:firstLineChars="0" w:firstLine="0"/>
        <w:numPr>
          <w:ilvl w:val="0"/>
          <w:numId w:val="1"/>
        </w:numPr>
        <w:spacing w:after="0" w:line="240" w:lineRule="atLeast"/>
        <w:rPr>
          <w:rFonts w:ascii="돋움체" w:eastAsia="돋움체" w:hAnsi="돋움체" w:hint="eastAsia"/>
          <w:w w:val="90"/>
          <w:rtl w:val="off"/>
        </w:rPr>
      </w:pPr>
      <w:r>
        <w:rPr>
          <w:rFonts w:ascii="돋움체" w:eastAsia="돋움체" w:hAnsi="돋움체" w:hint="eastAsia"/>
          <w:w w:val="90"/>
          <w:rtl w:val="off"/>
        </w:rPr>
        <w:t>draft-ietf-6lowpan-hc: RFC4944에서 정의한 헤더 압축에 대해서 보완할 사항에 대해 정의한 드래프트이다. 표준이 완료되면 RFC4944를 갱신하게 된다.</w:t>
      </w:r>
    </w:p>
    <w:p>
      <w:pPr>
        <w:ind w:leftChars="0" w:left="0"/>
        <w:spacing w:after="0" w:line="240" w:lineRule="atLeast"/>
        <w:rPr>
          <w:rFonts w:ascii="돋움체" w:eastAsia="돋움체" w:hAnsi="돋움체" w:hint="eastAsia"/>
          <w:w w:val="90"/>
          <w:rtl w:val="off"/>
        </w:rPr>
      </w:pPr>
    </w:p>
    <w:p>
      <w:pPr>
        <w:ind w:leftChars="0" w:left="0"/>
        <w:jc w:val="center"/>
        <w:spacing w:after="0" w:line="240" w:lineRule="atLeast"/>
        <w:rPr>
          <w:rFonts w:ascii="돋움체" w:eastAsia="돋움체" w:hAnsi="돋움체" w:hint="eastAsia"/>
          <w:w w:val="90"/>
          <w:rtl w:val="off"/>
        </w:rPr>
      </w:pPr>
      <w:r>
        <w:drawing>
          <wp:inline distT="0" distB="0" distL="180" distR="180">
            <wp:extent cx="3812686" cy="1414930"/>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3812686" cy="1414930"/>
                    </a:xfrm>
                    <a:prstGeom prst="rect"/>
                  </pic:spPr>
                </pic:pic>
              </a:graphicData>
            </a:graphic>
          </wp:inline>
        </w:drawing>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jc w:val="center"/>
        <w:spacing w:after="0" w:line="240" w:lineRule="atLeast"/>
        <w:rPr>
          <w:rFonts w:ascii="돋움체" w:eastAsia="돋움체" w:hAnsi="돋움체" w:hint="eastAsia"/>
          <w:w w:val="90"/>
          <w:rtl w:val="off"/>
        </w:rPr>
      </w:pPr>
      <w:r>
        <w:rPr>
          <w:rFonts w:ascii="돋움체" w:eastAsia="돋움체" w:hAnsi="돋움체" w:hint="eastAsia"/>
          <w:b/>
          <w:bCs/>
          <w:w w:val="90"/>
          <w:sz w:val="40"/>
          <w:szCs w:val="40"/>
          <w:rtl w:val="off"/>
        </w:rPr>
        <w:t>IEEE 802.15.4</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IEEE 802.15.4는 물리 계층(PHY)과 미디어 액세스 콘트롤 계층(MAC)을 정의하는 표준으로서, 저속도 무선 개인 통신망(Low Rate Wireless Personal Area Networks, LR-WPANs)를 위한 표준 가운데 하나이다. IEEE 802.15 워킹 그룹이 관리하고 있다. 대표적 이름은 지그비 Zigbee이다.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IEEE 802.15.4는 직비, 와이어리스하트(WirelessHART), 마이와이(MiWi) 표준의 기저 계층이 되었다. 앞서 말한 표준 각각은 IEEE 802.15.4-2006표준이 커버하고 있지 않은 상위 프로토콜 스택을 정의함으로써 완전한 통신망 솔루션을 제공하고자 하고 있다. 한편 IEEE 802.15.4-2006을 가지고 6LoWPAN(소위, 센서 네트워크와 IPv6 네트워크를 직접 연동하는 기술)과 표준 인터넷 프로토콜과 함께 써서, 이른바 와이어리스 임베디드 인터넷(Wireless Embedded Internet)을 만들 수 있기도 하다.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b/>
          <w:bCs/>
          <w:w w:val="90"/>
          <w:sz w:val="28"/>
          <w:szCs w:val="28"/>
          <w:rtl w:val="off"/>
        </w:rPr>
        <w:t>개관</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IEEE 표준 802.15.4는 무선 개인 통신망(WPAN)의 기본적인 하위 네트워크 계층을 제공하기 위해 제정되었다. 특히, 장치간의 저가격, 저속도 유비퀴터스 통신을 지향하였다. (대조적으로, 최종 사용자를 염두에 둔 표준으로 Wi-Fi가 있다. ) 거의 갖추고 있는 인프라스트럭쳐 없이도, 서로 가까운 거리에 있는 장치끼리 저가격으로 통신을 할 수 있다는 점을 강조하였다. 게다가 저전력 소비까지도 염두에 두었다.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기본 프레임워크는 10 미터 거리 내, 대략 250 kbit/s 전송 속도를 전제조건으로 하였다. 한 종류만의 물리 계층(physical layer)만 아닌 여러 종류의 물리 계층을 정의해두었다. 더 적은 전력소모를 요구하는 임베디드 시스템에 대해 트레이드오프를 하고자 물리 계층을 여러 개 정의한 것이었다. 최초의 스펙에서는 트랜스퍼 레이트가 약 20, 40 kbit/s 인 저속 스펙이 포함되었다. 현재 버전에서는 트랜스퍼 레이트가 약 100 kbit/s인 스펙이 추가되었다.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저전력소모 스펙에서는 이것들보다 더 낮은 트랜스퍼 레이트도 고려될 수 있다. 한데, 앞서 말했듯이, WPAN 표준 중 802.15.4만이 가지고 있는 특징은 극도로 저렴한 제조 단가를 추구한다는 것이며, 기술적으로 단순함을 추구하는 것인데, 단, 이는 기술적 유연성과 일반성을 해치지 않는 범위 내에서 이루어져야 할 것이다.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IEEE 802.15.4에 들어간 중요한 특징들은, 리얼 타임 응용에 적합하도록 타임 슬롯(guaranteed time slot)을 예약하는 기능, CSMA/CA을 이용한 콜리전 어보이던스, 보안성 있는 통신 지원 등이 되겠다. 또한, 제조사는 디바이스에 링크 퀄리티나 에너지 디텍션 등과 같은 전력 관리 기능을 포함시킬 수 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IEEE 802.15.4 디바이스는 세 가지 가능한 무선 주파수 대역 중 하나를 골라 작동한다. PHY는 2450MHz(2400-2483.5), 868MHz(868-868.6), 915MHz(902-928)에서 동작한다.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drawing>
          <wp:anchor distT="0" distB="0" distL="114300" distR="114300" behindDoc="0" locked="0" layoutInCell="1" simplePos="0" relativeHeight="251661312" allowOverlap="1" hidden="0">
            <wp:simplePos x="0" y="0"/>
            <wp:positionH relativeFrom="column">
              <wp:posOffset>4154128</wp:posOffset>
            </wp:positionH>
            <wp:positionV relativeFrom="paragraph">
              <wp:posOffset>158627</wp:posOffset>
            </wp:positionV>
            <wp:extent cx="1513359" cy="1606052"/>
            <wp:effectExtent l="0" t="0" r="0" b="0"/>
            <wp:wrapSquare wrapText="bothSides"/>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
                      <a:extLst>
                        <a:ext uri="{28A0092B-C50C-407E-A947-70E740481C1C}">
                          <a14:useLocalDpi xmlns:a14="http://schemas.microsoft.com/office/drawing/2010/main" val="0"/>
                        </a:ext>
                      </a:extLst>
                    </a:blip>
                    <a:srcRect/>
                    <a:stretch>
                      <a:fillRect/>
                    </a:stretch>
                  </pic:blipFill>
                  <pic:spPr>
                    <a:xfrm>
                      <a:off x="0" y="0"/>
                      <a:ext cx="1513359" cy="1606052"/>
                    </a:xfrm>
                    <a:prstGeom prst="rect"/>
                  </pic:spPr>
                </pic:pic>
              </a:graphicData>
            </a:graphic>
          </wp:anchor>
        </w:drawing>
      </w:r>
    </w:p>
    <w:p>
      <w:pPr>
        <w:ind w:leftChars="0" w:left="0"/>
        <w:spacing w:after="0" w:line="240" w:lineRule="atLeast"/>
        <w:rPr>
          <w:rFonts w:ascii="돋움체" w:eastAsia="돋움체" w:hAnsi="돋움체" w:hint="eastAsia"/>
          <w:w w:val="90"/>
          <w:rtl w:val="off"/>
        </w:rPr>
      </w:pPr>
      <w:r>
        <w:rPr>
          <w:rFonts w:ascii="돋움체" w:eastAsia="돋움체" w:hAnsi="돋움체" w:hint="eastAsia"/>
          <w:b/>
          <w:bCs/>
          <w:w w:val="90"/>
          <w:sz w:val="28"/>
          <w:szCs w:val="28"/>
          <w:rtl w:val="off"/>
        </w:rPr>
        <w:t>프로토콜 구조</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각 장치들은 개념적으로는 단순한 무선 네트워크 상에서 상호 통신한다. 네트워크 계층의 정의는 OSI 모델에 기반하고 있다. 비록 IEEE 802.15.4가 표준 문서에서는 하위 계층만을 정의하고 있으며, 상위 계층과의 상호 작용을 염두에 두고 그것을 정의하고 있으나, 프로토콜 사용자는 컨버전스 서브레이어를 통해 MAC에 접근하는 IEEE 802.2 로지컬 링크 콘트롤 서브레이어를 선택적으로 사용할 수 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b/>
          <w:bCs/>
          <w:w w:val="90"/>
          <w:sz w:val="36"/>
          <w:szCs w:val="36"/>
          <w:rtl w:val="off"/>
        </w:rPr>
      </w:pPr>
      <w:r>
        <w:rPr>
          <w:rFonts w:ascii="돋움체" w:eastAsia="돋움체" w:hAnsi="돋움체" w:hint="eastAsia"/>
          <w:b/>
          <w:bCs/>
          <w:w w:val="90"/>
          <w:sz w:val="36"/>
          <w:szCs w:val="36"/>
          <w:rtl w:val="off"/>
        </w:rPr>
        <w:t>무선 센서 네트워크</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무선 센서 네트워크(영어: wireless sensor network, WSN)는 센서를 네트워크로 구성한 것을 말한다. 인간 중심지향적이면서 장소에 구애받지 않고 언제 어디서나 컴퓨팅 환경에 접속할 수 있는 유비쿼터스 패러다임이 확대되면서 전 세계적으로 활발하게 연구되고 있는 기술 중의 하나이다.</w:t>
      </w:r>
    </w:p>
    <w:p>
      <w:pPr>
        <w:ind w:leftChars="0" w:left="0"/>
        <w:spacing w:after="0" w:line="240" w:lineRule="atLeast"/>
        <w:rPr>
          <w:rFonts w:ascii="돋움체" w:eastAsia="돋움체" w:hAnsi="돋움체" w:hint="eastAsia"/>
          <w:w w:val="90"/>
          <w:rtl w:val="off"/>
        </w:rPr>
      </w:pPr>
    </w:p>
    <w:p>
      <w:pPr>
        <w:ind w:leftChars="0" w:left="0"/>
        <w:jc w:val="center"/>
        <w:spacing w:after="0" w:line="240" w:lineRule="atLeast"/>
        <w:rPr>
          <w:rFonts w:ascii="돋움체" w:eastAsia="돋움체" w:hAnsi="돋움체" w:hint="eastAsia"/>
          <w:w w:val="90"/>
          <w:rtl w:val="off"/>
        </w:rPr>
      </w:pPr>
      <w:r>
        <w:drawing>
          <wp:inline distT="0" distB="0" distL="180" distR="180">
            <wp:extent cx="2333246" cy="1122875"/>
            <wp:effectExtent l="0" t="0" r="0" b="0"/>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
                      <a:extLst>
                        <a:ext uri="{28A0092B-C50C-407E-A947-70E740481C1C}">
                          <a14:useLocalDpi xmlns:a14="http://schemas.microsoft.com/office/drawing/2010/main" val="0"/>
                        </a:ext>
                      </a:extLst>
                    </a:blip>
                    <a:srcRect/>
                    <a:stretch>
                      <a:fillRect/>
                    </a:stretch>
                  </pic:blipFill>
                  <pic:spPr>
                    <a:xfrm>
                      <a:off x="0" y="0"/>
                      <a:ext cx="2333246" cy="1122875"/>
                    </a:xfrm>
                    <a:prstGeom prst="rect"/>
                  </pic:spPr>
                </pic:pic>
              </a:graphicData>
            </a:graphic>
          </wp:inline>
        </w:drawing>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b/>
          <w:bCs/>
          <w:w w:val="90"/>
          <w:sz w:val="28"/>
          <w:szCs w:val="28"/>
          <w:rtl w:val="off"/>
        </w:rPr>
      </w:pPr>
      <w:r>
        <w:rPr>
          <w:rFonts w:ascii="돋움체" w:eastAsia="돋움체" w:hAnsi="돋움체" w:hint="eastAsia"/>
          <w:b/>
          <w:bCs/>
          <w:w w:val="90"/>
          <w:sz w:val="28"/>
          <w:szCs w:val="28"/>
          <w:rtl w:val="off"/>
        </w:rPr>
        <w:t>WSN 기술의 특징</w:t>
      </w:r>
    </w:p>
    <w:p>
      <w:pPr>
        <w:pStyle w:val="af1"/>
        <w:ind w:leftChars="149" w:left="588" w:rightChars="0" w:right="0" w:hanging="289" w:firstLineChars="0" w:firstLine="0"/>
        <w:numPr>
          <w:ilvl w:val="0"/>
          <w:numId w:val="2"/>
        </w:numPr>
        <w:spacing w:after="0" w:line="240" w:lineRule="atLeast"/>
        <w:rPr>
          <w:rFonts w:ascii="돋움체" w:eastAsia="돋움체" w:hAnsi="돋움체" w:hint="eastAsia"/>
          <w:w w:val="90"/>
          <w:rtl w:val="off"/>
        </w:rPr>
      </w:pPr>
      <w:r>
        <w:rPr>
          <w:rFonts w:ascii="돋움체" w:eastAsia="돋움체" w:hAnsi="돋움체" w:hint="eastAsia"/>
          <w:w w:val="90"/>
          <w:rtl w:val="off"/>
        </w:rPr>
        <w:t>WSN 기술은 크게 RFID 등의 내용을 포함하고 있으며, 모든 사물에 적용되는 임베디드 무선 네트워크 기술이다.</w:t>
      </w:r>
    </w:p>
    <w:p>
      <w:pPr>
        <w:pStyle w:val="af1"/>
        <w:ind w:leftChars="149" w:left="588" w:rightChars="0" w:right="0" w:hanging="289" w:firstLineChars="0" w:firstLine="0"/>
        <w:numPr>
          <w:ilvl w:val="0"/>
          <w:numId w:val="2"/>
        </w:numPr>
        <w:spacing w:after="0" w:line="240" w:lineRule="atLeast"/>
        <w:rPr>
          <w:rFonts w:ascii="돋움체" w:eastAsia="돋움체" w:hAnsi="돋움체" w:hint="eastAsia"/>
          <w:w w:val="90"/>
          <w:rtl w:val="off"/>
        </w:rPr>
      </w:pPr>
      <w:r>
        <w:rPr>
          <w:rFonts w:ascii="돋움체" w:eastAsia="돋움체" w:hAnsi="돋움체" w:hint="eastAsia"/>
          <w:w w:val="90"/>
          <w:rtl w:val="off"/>
        </w:rPr>
        <w:t>WSN 관련 소프트웨어 플랫폼으로는 TinyOS, Nano Qplus, Contiki, LiteOS 등이 있으며, 다양한 표준과 프로토콜을 지원한다.</w:t>
      </w:r>
    </w:p>
    <w:p>
      <w:pPr>
        <w:pStyle w:val="af1"/>
        <w:ind w:leftChars="149" w:left="588" w:rightChars="0" w:right="0" w:hanging="289" w:firstLineChars="0" w:firstLine="0"/>
        <w:numPr>
          <w:ilvl w:val="0"/>
          <w:numId w:val="2"/>
        </w:numPr>
        <w:spacing w:after="0" w:line="240" w:lineRule="atLeast"/>
        <w:rPr>
          <w:rFonts w:ascii="돋움체" w:eastAsia="돋움체" w:hAnsi="돋움체" w:hint="eastAsia"/>
          <w:w w:val="90"/>
          <w:rtl w:val="off"/>
        </w:rPr>
      </w:pPr>
      <w:r>
        <w:rPr>
          <w:rFonts w:ascii="돋움체" w:eastAsia="돋움체" w:hAnsi="돋움체" w:hint="eastAsia"/>
          <w:w w:val="90"/>
          <w:rtl w:val="off"/>
        </w:rPr>
        <w:t xml:space="preserve">WSN 관련 표준으로는 IETF의 6LoWPAN, ROLL, CoRE와 함께 ZigBee, Wireless HART, ISA 100 등이 있다. </w:t>
      </w:r>
    </w:p>
    <w:p>
      <w:pPr>
        <w:pStyle w:val="af1"/>
        <w:ind w:leftChars="149" w:left="588" w:rightChars="0" w:right="0" w:hanging="289" w:firstLineChars="0" w:firstLine="0"/>
        <w:numPr>
          <w:ilvl w:val="0"/>
          <w:numId w:val="2"/>
        </w:numPr>
        <w:spacing w:after="0" w:line="240" w:lineRule="atLeast"/>
        <w:rPr>
          <w:rFonts w:ascii="돋움체" w:eastAsia="돋움체" w:hAnsi="돋움체" w:hint="eastAsia"/>
          <w:w w:val="90"/>
          <w:rtl w:val="off"/>
        </w:rPr>
      </w:pPr>
      <w:r>
        <w:rPr>
          <w:rFonts w:ascii="돋움체" w:eastAsia="돋움체" w:hAnsi="돋움체" w:hint="eastAsia"/>
          <w:w w:val="90"/>
          <w:rtl w:val="off"/>
        </w:rPr>
        <w:t>2009년을 기준으로 2~3년 후에는 IPv6를 접목한 WSN 기술이 많이 확산될것으로 기대되고 있다. 외국에서는 Internet of Things, 국내에서는 방통위에서 사물통신망이라는 이름으로 법제화 및 표준화를 진행하고 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b/>
          <w:bCs/>
          <w:w w:val="90"/>
          <w:sz w:val="28"/>
          <w:szCs w:val="28"/>
          <w:rtl w:val="off"/>
        </w:rPr>
        <w:t>응용 사례</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b/>
          <w:bCs/>
          <w:w w:val="90"/>
          <w:sz w:val="24"/>
          <w:szCs w:val="24"/>
          <w:rtl w:val="off"/>
        </w:rPr>
      </w:pPr>
      <w:r>
        <w:rPr>
          <w:rFonts w:ascii="돋움체" w:eastAsia="돋움체" w:hAnsi="돋움체" w:hint="eastAsia"/>
          <w:b/>
          <w:bCs/>
          <w:w w:val="90"/>
          <w:sz w:val="24"/>
          <w:szCs w:val="24"/>
          <w:rtl w:val="off"/>
        </w:rPr>
        <w:t>지역 모니터링</w:t>
      </w: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지역 모니터링은 WSN의 흔한 응용 중 하나이다. 지역 모니터링중에서 WSN는 모니터링이 필요한 지역에 배치되어 현상을 모니터링한다. 군사적인 응용으로는, 적군의 침입을 감지하는 시스템을 예로 들 수 있으며, 상업적인 응용으로는 가스나 오일 파이프레인의 지오펜싱 시스템을 예로 들 수 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r>
        <w:rPr>
          <w:rFonts w:ascii="돋움체" w:eastAsia="돋움체" w:hAnsi="돋움체" w:hint="eastAsia"/>
          <w:b/>
          <w:bCs/>
          <w:w w:val="90"/>
          <w:sz w:val="24"/>
          <w:szCs w:val="24"/>
          <w:rtl w:val="off"/>
        </w:rPr>
        <w:t>스마트 더스트</w:t>
      </w:r>
    </w:p>
    <w:p>
      <w:pPr>
        <w:ind w:leftChars="0" w:left="0"/>
        <w:spacing w:after="0" w:line="240" w:lineRule="atLeast"/>
        <w:rPr>
          <w:rFonts w:ascii="돋움체" w:eastAsia="돋움체" w:hAnsi="돋움체" w:hint="eastAsia"/>
          <w:w w:val="90"/>
          <w:rtl w:val="off"/>
        </w:rPr>
      </w:pPr>
      <w:r>
        <w:rPr>
          <w:rFonts w:ascii="돋움체" w:eastAsia="돋움체" w:hAnsi="돋움체" w:hint="eastAsia"/>
          <w:w w:val="90"/>
          <w:rtl w:val="off"/>
        </w:rPr>
        <w:t>스마트 더스트란 먼지 크기의 작은 센서를 물리적 공간에 먼지처럼 뿌려 주위의 정보를 감지하는 기술이다. 비행기로 적지에 침투하여 스마트 더스트를 뿌려 적군의 수, 움직임, 보유 장비등을 체크하고 이를 토대로 전략을 수행할 수 있다.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b/>
          <w:bCs/>
          <w:w w:val="90"/>
          <w:sz w:val="28"/>
          <w:szCs w:val="28"/>
          <w:rtl w:val="off"/>
        </w:rPr>
      </w:pPr>
      <w:r>
        <w:rPr>
          <w:rFonts w:ascii="돋움체" w:eastAsia="돋움체" w:hAnsi="돋움체" w:hint="eastAsia"/>
          <w:b/>
          <w:bCs/>
          <w:w w:val="90"/>
          <w:sz w:val="28"/>
          <w:szCs w:val="28"/>
          <w:rtl w:val="off"/>
        </w:rPr>
        <w:t>WSN 기술의 미래</w:t>
      </w:r>
    </w:p>
    <w:p>
      <w:pPr>
        <w:pStyle w:val="af1"/>
        <w:ind w:leftChars="149" w:left="608" w:rightChars="0" w:right="0" w:hanging="309" w:firstLineChars="0" w:firstLine="0"/>
        <w:numPr>
          <w:ilvl w:val="0"/>
          <w:numId w:val="3"/>
        </w:numPr>
        <w:spacing w:after="0" w:line="240" w:lineRule="atLeast"/>
        <w:rPr>
          <w:rFonts w:ascii="돋움체" w:eastAsia="돋움체" w:hAnsi="돋움체" w:hint="eastAsia"/>
          <w:w w:val="90"/>
          <w:rtl w:val="off"/>
        </w:rPr>
      </w:pPr>
      <w:r>
        <w:rPr>
          <w:rFonts w:ascii="돋움체" w:eastAsia="돋움체" w:hAnsi="돋움체" w:hint="eastAsia"/>
          <w:w w:val="90"/>
          <w:rtl w:val="off"/>
        </w:rPr>
        <w:t>2012~2015년 의 가장 큰 이슈는, IPv6 또는 인터넷 기반의 무선센서의 성공여부일 것이다. 지난 수년동안의 노력이 이제는 상용화로 꽃을 피워, 대중화의 길을 걸어야 하는데, 그런 장벽들을 어떻게 극복하느냐가 가장 중요한 항목</w:t>
      </w:r>
    </w:p>
    <w:p>
      <w:pPr>
        <w:pStyle w:val="af1"/>
        <w:ind w:leftChars="149" w:left="608" w:rightChars="0" w:right="0" w:hanging="309" w:firstLineChars="0" w:firstLine="0"/>
        <w:numPr>
          <w:ilvl w:val="0"/>
          <w:numId w:val="3"/>
        </w:numPr>
        <w:spacing w:after="0" w:line="240" w:lineRule="atLeast"/>
        <w:rPr>
          <w:rFonts w:ascii="돋움체" w:eastAsia="돋움체" w:hAnsi="돋움체" w:hint="eastAsia"/>
          <w:w w:val="90"/>
          <w:rtl w:val="off"/>
        </w:rPr>
      </w:pPr>
      <w:r>
        <w:rPr>
          <w:rFonts w:ascii="돋움체" w:eastAsia="돋움체" w:hAnsi="돋움체" w:hint="eastAsia"/>
          <w:w w:val="90"/>
          <w:rtl w:val="off"/>
        </w:rPr>
        <w:t>개별 무선센서에 대한 다양한 기술이 나와 있으나, 시장 확대가 느려지면서 상용화의 어려움을 겪고 있는 상황. 또한 스마트폰을 이용한 서비스가 시대흐름을 잡고 있는 것도 문제중 하나임</w:t>
      </w:r>
    </w:p>
    <w:p>
      <w:pPr>
        <w:pStyle w:val="af1"/>
        <w:ind w:leftChars="149" w:left="608" w:rightChars="0" w:right="0" w:hanging="309" w:firstLineChars="0" w:firstLine="0"/>
        <w:numPr>
          <w:ilvl w:val="0"/>
          <w:numId w:val="3"/>
        </w:numPr>
        <w:spacing w:after="0" w:line="240" w:lineRule="atLeast"/>
        <w:rPr>
          <w:rFonts w:ascii="돋움체" w:eastAsia="돋움체" w:hAnsi="돋움체" w:hint="eastAsia"/>
          <w:w w:val="90"/>
          <w:rtl w:val="off"/>
        </w:rPr>
      </w:pPr>
      <w:r>
        <w:rPr>
          <w:rFonts w:ascii="돋움체" w:eastAsia="돋움체" w:hAnsi="돋움체" w:hint="eastAsia"/>
          <w:w w:val="90"/>
          <w:rtl w:val="off"/>
        </w:rPr>
        <w:t>인터넷에 연결되는 무선센서와 그것을 이용한 가치 창출이 필요함</w:t>
      </w:r>
    </w:p>
    <w:p>
      <w:pPr>
        <w:pStyle w:val="af1"/>
        <w:ind w:leftChars="149" w:left="608" w:rightChars="0" w:right="0" w:hanging="309" w:firstLineChars="0" w:firstLine="0"/>
        <w:numPr>
          <w:ilvl w:val="0"/>
          <w:numId w:val="3"/>
        </w:numPr>
        <w:spacing w:after="0" w:line="240" w:lineRule="atLeast"/>
        <w:rPr>
          <w:rFonts w:ascii="돋움체" w:eastAsia="돋움체" w:hAnsi="돋움체" w:hint="eastAsia"/>
          <w:w w:val="90"/>
          <w:rtl w:val="off"/>
        </w:rPr>
      </w:pPr>
      <w:r>
        <w:rPr>
          <w:rFonts w:ascii="돋움체" w:eastAsia="돋움체" w:hAnsi="돋움체" w:hint="eastAsia"/>
          <w:w w:val="90"/>
          <w:rtl w:val="off"/>
        </w:rPr>
        <w:t>IPv6 이던, IPv4 이던, 센서의 인터넷 참여가 적극적으로 이루어져야 하며, 장기적 관점으로 볼때는 IPv6 가 대중화 되는 것이 풍성한 네트워크의 미래를 마련해 줄 것이다.</w:t>
      </w: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eastAsia"/>
          <w:w w:val="90"/>
          <w:rtl w:val="off"/>
        </w:rPr>
      </w:pPr>
    </w:p>
    <w:p>
      <w:pPr>
        <w:ind w:leftChars="0" w:left="0"/>
        <w:spacing w:after="0" w:line="240" w:lineRule="atLeast"/>
        <w:rPr>
          <w:rFonts w:ascii="돋움체" w:eastAsia="돋움체" w:hAnsi="돋움체" w:hint="default"/>
          <w:w w:val="90"/>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돋움체">
    <w:panose1 w:val="020B0609000101010101"/>
    <w:notTrueType w:val="false"/>
    <w:sig w:usb0="B00002AF" w:usb1="69D77CFB" w:usb2="00000030" w:usb3="00000001" w:csb0="4008009F" w:csb1="DFD70000"/>
  </w:font>
  <w:font w:name="Wingdings">
    <w:panose1 w:val="05000000000000000000"/>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fffa3f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abstractNum w:abstractNumId="1">
    <w:nsid w:val="fffebd3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abstractNum w:abstractNumId="2">
    <w:nsid w:val="ffffe92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rPr>
    </w:lvl>
    <w:lvl w:ilvl="2" w:tplc="4090075">
      <w:start w:val="1"/>
      <w:numFmt w:val="bullet"/>
      <w:lvlText w:val=""/>
      <w:lvlJc w:val="left"/>
      <w:pPr>
        <w:ind w:left="1600" w:hanging="400"/>
      </w:pPr>
      <w:rPr>
        <w:rFonts w:ascii="Wingdings" w:hAnsi="Wingdings"/>
      </w:rPr>
    </w:lvl>
    <w:lvl w:ilvl="3" w:tplc="409006c">
      <w:start w:val="1"/>
      <w:numFmt w:val="bullet"/>
      <w:lvlText w:val=""/>
      <w:lvlJc w:val="left"/>
      <w:pPr>
        <w:ind w:left="2000" w:hanging="400"/>
      </w:pPr>
      <w:rPr>
        <w:rFonts w:ascii="Wingdings" w:hAnsi="Wingdings"/>
      </w:rPr>
    </w:lvl>
    <w:lvl w:ilvl="4" w:tplc="409006e">
      <w:start w:val="1"/>
      <w:numFmt w:val="bullet"/>
      <w:lvlText w:val=""/>
      <w:lvlJc w:val="left"/>
      <w:pPr>
        <w:ind w:left="2400" w:hanging="400"/>
      </w:pPr>
      <w:rPr>
        <w:rFonts w:ascii="Wingdings" w:hAnsi="Wingdings"/>
      </w:rPr>
    </w:lvl>
    <w:lvl w:ilvl="5" w:tplc="4090075">
      <w:start w:val="1"/>
      <w:numFmt w:val="bullet"/>
      <w:lvlText w:val=""/>
      <w:lvlJc w:val="left"/>
      <w:pPr>
        <w:ind w:left="2800" w:hanging="400"/>
      </w:pPr>
      <w:rPr>
        <w:rFonts w:ascii="Wingdings" w:hAnsi="Wingdings"/>
      </w:rPr>
    </w:lvl>
    <w:lvl w:ilvl="6" w:tplc="409006c">
      <w:start w:val="1"/>
      <w:numFmt w:val="bullet"/>
      <w:lvlText w:val=""/>
      <w:lvlJc w:val="left"/>
      <w:pPr>
        <w:ind w:left="3200" w:hanging="400"/>
      </w:pPr>
      <w:rPr>
        <w:rFonts w:ascii="Wingdings" w:hAnsi="Wingdings"/>
      </w:rPr>
    </w:lvl>
    <w:lvl w:ilvl="7" w:tplc="409006e">
      <w:start w:val="1"/>
      <w:numFmt w:val="bullet"/>
      <w:lvlText w:val=""/>
      <w:lvlJc w:val="left"/>
      <w:pPr>
        <w:ind w:left="3600" w:hanging="400"/>
      </w:pPr>
      <w:rPr>
        <w:rFonts w:ascii="Wingdings" w:hAnsi="Wingdings"/>
      </w:rPr>
    </w:lvl>
    <w:lvl w:ilvl="8" w:tplc="4090075">
      <w:start w:val="1"/>
      <w:numFmt w:val="bullet"/>
      <w:lvlText w:val=""/>
      <w:lvlJc w:val="left"/>
      <w:pPr>
        <w:ind w:left="4000" w:hanging="400"/>
      </w:pPr>
      <w:rPr>
        <w:rFonts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drawingGridHorizontalSpacing w:val="1000"/>
  <w:drawingGridVerticalSpacing w:val="100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af1">
    <w:name w:val="List Paragraph"/>
    <w:basedOn w:val="a1"/>
    <w:qFormat/>
    <w:pPr>
      <w:ind w:leftChars="400" w:left="8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gif" /><Relationship Id="rId2" Type="http://schemas.openxmlformats.org/officeDocument/2006/relationships/image" Target="media/image2.jpe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numbering" Target="numbering.xml" /><Relationship Id="rId10"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Hancom Office">
      <a:majorFont>
        <a:latin typeface="함초롬돋움"/>
        <a:ea typeface=""/>
        <a:cs typeface=""/>
        <a:font script="Jpan" typeface="ＭＳ ゴシック"/>
        <a:font script="Hang" typeface="함초롬돋움"/>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함초롬돋움"/>
        <a:ea typeface=""/>
        <a:cs typeface=""/>
        <a:font script="Jpan" typeface="ＭＳ 明朝"/>
        <a:font script="Hang" typeface="함초롬돋움"/>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cp:revision>
  <dcterms:created xsi:type="dcterms:W3CDTF">2022-05-16T14:36:35Z</dcterms:created>
  <dcterms:modified xsi:type="dcterms:W3CDTF">2022-05-16T14:59:05Z</dcterms:modified>
  <cp:version>0900.0100.01</cp:version>
</cp:coreProperties>
</file>