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b/>
          <w:bCs/>
          <w:sz w:val="26"/>
          <w:szCs w:val="26"/>
        </w:rPr>
        <w:t xml:space="preserve">UNICEUB · EAD</w:t>
      </w:r>
    </w:p>
    <w:p>
      <w:pPr>
        <w:spacing w:after="600"/>
        <w:jc w:val="center"/>
      </w:pPr>
      <w:r>
        <w:rPr>
          <w:i/>
          <w:iCs/>
          <w:sz w:val="22"/>
          <w:szCs w:val="22"/>
        </w:rPr>
        <w:t xml:space="preserve">Educação Superior</w:t>
      </w:r>
    </w:p>
    <w:p>
      <w:pPr>
        <w:spacing w:after="200" w:before="400"/>
        <w:jc w:val="center"/>
      </w:pPr>
      <w:r>
        <w:rPr>
          <w:b/>
          <w:bCs/>
          <w:color w:val="1F3864"/>
          <w:sz w:val="32"/>
          <w:szCs w:val="32"/>
        </w:rPr>
        <w:t xml:space="preserve">RELATÓRIO FINAL DE SISTEMATIZAÇÃO</w:t>
      </w:r>
    </w:p>
    <w:p>
      <w:pPr>
        <w:spacing w:after="700"/>
        <w:jc w:val="center"/>
      </w:pPr>
      <w:r>
        <w:rPr>
          <w:i/>
          <w:iCs/>
          <w:sz w:val="24"/>
          <w:szCs w:val="24"/>
        </w:rPr>
        <w:t xml:space="preserve">Virtualização, Modelos de Serviço, Microsserviços e Acordos de Nível de Serviço: Fundamentos e Tendências da Computação em Nuvem</w:t>
      </w:r>
    </w:p>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EEAF6" w:val="clear"/>
            <w:tcMar>
              <w:top w:type="dxa" w:w="90"/>
              <w:left w:type="dxa" w:w="140"/>
              <w:bottom w:type="dxa" w:w="90"/>
              <w:right w:type="dxa" w:w="140"/>
            </w:tcMar>
            <w:vAlign w:val="center"/>
          </w:tcPr>
          <w:p>
            <w:r>
              <w:rPr>
                <w:b/>
                <w:bCs/>
                <w:sz w:val="22"/>
                <w:szCs w:val="22"/>
              </w:rPr>
              <w:t xml:space="preserve">Disciplina:</w:t>
            </w:r>
          </w:p>
        </w:tc>
        <w:tc>
          <w:tcPr>
            <w:tcW w:type="dxa" w:w="6350"/>
            <w:tcMar>
              <w:top w:type="dxa" w:w="90"/>
              <w:left w:type="dxa" w:w="140"/>
              <w:bottom w:type="dxa" w:w="90"/>
              <w:right w:type="dxa" w:w="140"/>
            </w:tcMar>
            <w:vAlign w:val="center"/>
          </w:tcPr>
          <w:p>
            <w:r>
              <w:rPr>
                <w:b w:val="false"/>
                <w:bCs w:val="false"/>
                <w:sz w:val="22"/>
                <w:szCs w:val="22"/>
              </w:rPr>
              <w:t xml:space="preserve">Computação em Nuvem</w:t>
            </w:r>
          </w:p>
        </w:tc>
      </w:tr>
      <w:tr>
        <w:tc>
          <w:tcPr>
            <w:tcW w:type="dxa" w:w="3000"/>
            <w:shd w:fill="DEEAF6" w:val="clear"/>
            <w:tcMar>
              <w:top w:type="dxa" w:w="90"/>
              <w:left w:type="dxa" w:w="140"/>
              <w:bottom w:type="dxa" w:w="90"/>
              <w:right w:type="dxa" w:w="140"/>
            </w:tcMar>
            <w:vAlign w:val="center"/>
          </w:tcPr>
          <w:p>
            <w:r>
              <w:rPr>
                <w:b/>
                <w:bCs/>
                <w:sz w:val="22"/>
                <w:szCs w:val="22"/>
              </w:rPr>
              <w:t xml:space="preserve">Professor:</w:t>
            </w:r>
          </w:p>
        </w:tc>
        <w:tc>
          <w:tcPr>
            <w:tcW w:type="dxa" w:w="6350"/>
            <w:tcMar>
              <w:top w:type="dxa" w:w="90"/>
              <w:left w:type="dxa" w:w="140"/>
              <w:bottom w:type="dxa" w:w="90"/>
              <w:right w:type="dxa" w:w="140"/>
            </w:tcMar>
            <w:vAlign w:val="center"/>
          </w:tcPr>
          <w:p>
            <w:r>
              <w:rPr>
                <w:b w:val="false"/>
                <w:bCs w:val="false"/>
                <w:sz w:val="22"/>
                <w:szCs w:val="22"/>
              </w:rPr>
              <w:t xml:space="preserve">João Bachiega Jr.</w:t>
            </w:r>
          </w:p>
        </w:tc>
      </w:tr>
      <w:tr>
        <w:tc>
          <w:tcPr>
            <w:tcW w:type="dxa" w:w="3000"/>
            <w:shd w:fill="DEEAF6" w:val="clear"/>
            <w:tcMar>
              <w:top w:type="dxa" w:w="90"/>
              <w:left w:type="dxa" w:w="140"/>
              <w:bottom w:type="dxa" w:w="90"/>
              <w:right w:type="dxa" w:w="140"/>
            </w:tcMar>
            <w:vAlign w:val="center"/>
          </w:tcPr>
          <w:p>
            <w:r>
              <w:rPr>
                <w:b/>
                <w:bCs/>
                <w:sz w:val="22"/>
                <w:szCs w:val="22"/>
              </w:rPr>
              <w:t xml:space="preserve">Estudante:</w:t>
            </w:r>
          </w:p>
        </w:tc>
        <w:tc>
          <w:tcPr>
            <w:tcW w:type="dxa" w:w="6350"/>
            <w:tcMar>
              <w:top w:type="dxa" w:w="90"/>
              <w:left w:type="dxa" w:w="140"/>
              <w:bottom w:type="dxa" w:w="90"/>
              <w:right w:type="dxa" w:w="140"/>
            </w:tcMar>
            <w:vAlign w:val="center"/>
          </w:tcPr>
          <w:p>
            <w:r>
              <w:rPr>
                <w:b w:val="false"/>
                <w:bCs w:val="false"/>
                <w:sz w:val="22"/>
                <w:szCs w:val="22"/>
              </w:rPr>
              <w:t xml:space="preserve">[NOME COMPLETO DO ESTUDANTE]</w:t>
            </w:r>
          </w:p>
        </w:tc>
      </w:tr>
      <w:tr>
        <w:tc>
          <w:tcPr>
            <w:tcW w:type="dxa" w:w="3000"/>
            <w:shd w:fill="DEEAF6" w:val="clear"/>
            <w:tcMar>
              <w:top w:type="dxa" w:w="90"/>
              <w:left w:type="dxa" w:w="140"/>
              <w:bottom w:type="dxa" w:w="90"/>
              <w:right w:type="dxa" w:w="140"/>
            </w:tcMar>
            <w:vAlign w:val="center"/>
          </w:tcPr>
          <w:p>
            <w:r>
              <w:rPr>
                <w:b/>
                <w:bCs/>
                <w:sz w:val="22"/>
                <w:szCs w:val="22"/>
              </w:rPr>
              <w:t xml:space="preserve">Matrícula:</w:t>
            </w:r>
          </w:p>
        </w:tc>
        <w:tc>
          <w:tcPr>
            <w:tcW w:type="dxa" w:w="6350"/>
            <w:tcMar>
              <w:top w:type="dxa" w:w="90"/>
              <w:left w:type="dxa" w:w="140"/>
              <w:bottom w:type="dxa" w:w="90"/>
              <w:right w:type="dxa" w:w="140"/>
            </w:tcMar>
            <w:vAlign w:val="center"/>
          </w:tcPr>
          <w:p>
            <w:r>
              <w:rPr>
                <w:b w:val="false"/>
                <w:bCs w:val="false"/>
                <w:sz w:val="22"/>
                <w:szCs w:val="22"/>
              </w:rPr>
              <w:t xml:space="preserve">[MATRÍCULA]</w:t>
            </w:r>
          </w:p>
        </w:tc>
      </w:tr>
      <w:tr>
        <w:tc>
          <w:tcPr>
            <w:tcW w:type="dxa" w:w="3000"/>
            <w:shd w:fill="DEEAF6" w:val="clear"/>
            <w:tcMar>
              <w:top w:type="dxa" w:w="90"/>
              <w:left w:type="dxa" w:w="140"/>
              <w:bottom w:type="dxa" w:w="90"/>
              <w:right w:type="dxa" w:w="140"/>
            </w:tcMar>
            <w:vAlign w:val="center"/>
          </w:tcPr>
          <w:p>
            <w:r>
              <w:rPr>
                <w:b/>
                <w:bCs/>
                <w:sz w:val="22"/>
                <w:szCs w:val="22"/>
              </w:rPr>
              <w:t xml:space="preserve">Formato de entrega:</w:t>
            </w:r>
          </w:p>
        </w:tc>
        <w:tc>
          <w:tcPr>
            <w:tcW w:type="dxa" w:w="6350"/>
            <w:tcMar>
              <w:top w:type="dxa" w:w="90"/>
              <w:left w:type="dxa" w:w="140"/>
              <w:bottom w:type="dxa" w:w="90"/>
              <w:right w:type="dxa" w:w="140"/>
            </w:tcMar>
            <w:vAlign w:val="center"/>
          </w:tcPr>
          <w:p>
            <w:r>
              <w:rPr>
                <w:b w:val="false"/>
                <w:bCs w:val="false"/>
                <w:sz w:val="22"/>
                <w:szCs w:val="22"/>
              </w:rPr>
              <w:t xml:space="preserve">Vídeo no YouTube (até 5 min) + Relatório em PDF</w:t>
            </w:r>
          </w:p>
        </w:tc>
      </w:tr>
      <w:tr>
        <w:tc>
          <w:tcPr>
            <w:tcW w:type="dxa" w:w="3000"/>
            <w:shd w:fill="DEEAF6" w:val="clear"/>
            <w:tcMar>
              <w:top w:type="dxa" w:w="90"/>
              <w:left w:type="dxa" w:w="140"/>
              <w:bottom w:type="dxa" w:w="90"/>
              <w:right w:type="dxa" w:w="140"/>
            </w:tcMar>
            <w:vAlign w:val="center"/>
          </w:tcPr>
          <w:p>
            <w:r>
              <w:rPr>
                <w:b/>
                <w:bCs/>
                <w:sz w:val="22"/>
                <w:szCs w:val="22"/>
              </w:rPr>
              <w:t xml:space="preserve">Data de entrega:</w:t>
            </w:r>
          </w:p>
        </w:tc>
        <w:tc>
          <w:tcPr>
            <w:tcW w:type="dxa" w:w="6350"/>
            <w:tcMar>
              <w:top w:type="dxa" w:w="90"/>
              <w:left w:type="dxa" w:w="140"/>
              <w:bottom w:type="dxa" w:w="90"/>
              <w:right w:type="dxa" w:w="140"/>
            </w:tcMar>
            <w:vAlign w:val="center"/>
          </w:tcPr>
          <w:p>
            <w:r>
              <w:rPr>
                <w:b w:val="false"/>
                <w:bCs w:val="false"/>
                <w:sz w:val="22"/>
                <w:szCs w:val="22"/>
              </w:rPr>
              <w:t xml:space="preserve">[DD/MM/AAAA]</w:t>
            </w:r>
          </w:p>
        </w:tc>
      </w:tr>
    </w:tbl>
    <w:p>
      <w:pPr>
        <w:spacing w:before="900"/>
      </w:pPr>
    </w:p>
    <w:p>
      <w:pPr>
        <w:jc w:val="center"/>
      </w:pPr>
      <w:r>
        <w:rPr>
          <w:sz w:val="22"/>
          <w:szCs w:val="22"/>
        </w:rPr>
        <w:t xml:space="preserve">Brasília – DF</w:t>
      </w:r>
    </w:p>
    <w:p>
      <w:pPr>
        <w:jc w:val="center"/>
      </w:pPr>
      <w:r>
        <w:rPr>
          <w:sz w:val="22"/>
          <w:szCs w:val="22"/>
        </w:rPr>
        <w:t xml:space="preserve">2026</w:t>
      </w:r>
    </w:p>
    <w:p>
      <w:r>
        <w:br w:type="page"/>
      </w:r>
    </w:p>
    <w:p>
      <w:pPr>
        <w:spacing w:after="300"/>
        <w:jc w:val="center"/>
      </w:pPr>
      <w:r>
        <w:rPr>
          <w:b/>
          <w:bCs/>
          <w:color w:val="1F3864"/>
          <w:sz w:val="28"/>
          <w:szCs w:val="28"/>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tbl>
      <w:tblPr>
        <w:tblW w:type="dxa" w:w="9350"/>
        <w:tblBorders>
          <w:top w:val="single" w:color="2E74B5" w:sz="6"/>
          <w:left w:val="single" w:color="2E74B5" w:sz="6"/>
          <w:bottom w:val="single" w:color="2E74B5" w:sz="6"/>
          <w:right w:val="single" w:color="2E74B5" w:sz="6"/>
          <w:insideH w:val="single" w:color="auto" w:sz="4"/>
          <w:insideV w:val="single" w:color="auto" w:sz="4"/>
        </w:tblBorders>
      </w:tblPr>
      <w:tblGrid>
        <w:gridCol w:w="100"/>
      </w:tblGrid>
      <w:tr>
        <w:tc>
          <w:tcPr>
            <w:tcW w:type="dxa" w:w="9350"/>
            <w:shd w:fill="DEEAF6" w:val="clear"/>
            <w:tcMar>
              <w:top w:type="dxa" w:w="150"/>
              <w:left w:type="dxa" w:w="200"/>
              <w:bottom w:type="dxa" w:w="150"/>
              <w:right w:type="dxa" w:w="200"/>
            </w:tcMar>
          </w:tcPr>
          <w:p>
            <w:r>
              <w:rPr>
                <w:b/>
                <w:bCs/>
                <w:sz w:val="22"/>
                <w:szCs w:val="22"/>
              </w:rPr>
              <w:t xml:space="preserve">🔗 Link do vídeo de apresentação (YouTube): </w:t>
            </w:r>
            <w:r>
              <w:rPr>
                <w:i/>
                <w:iCs/>
                <w:sz w:val="22"/>
                <w:szCs w:val="22"/>
              </w:rPr>
              <w:t xml:space="preserve">[INSERIR LINK DO VÍDEO]</w:t>
            </w:r>
          </w:p>
          <w:p>
            <w:pPr>
              <w:spacing w:before="80"/>
            </w:pPr>
            <w:r>
              <w:rPr>
                <w:i/>
                <w:iCs/>
                <w:sz w:val="19"/>
                <w:szCs w:val="19"/>
              </w:rPr>
              <w:t xml:space="preserve">Vídeo de até 5 minutos, com voz e imagem do(a) estudante, apresentando o conteúdo pesquisado nesta sistematização.</w:t>
            </w:r>
          </w:p>
        </w:tc>
      </w:tr>
    </w:tbl>
    <w:p>
      <w:pPr>
        <w:spacing w:after="300"/>
      </w:pPr>
    </w:p>
    <w:p>
      <w:pPr>
        <w:pStyle w:val="Heading1"/>
        <w:spacing w:after="200" w:before="400"/>
      </w:pPr>
      <w:r>
        <w:rPr>
          <w:b/>
          <w:bCs/>
          <w:color w:val="1F3864"/>
          <w:sz w:val="28"/>
          <w:szCs w:val="28"/>
        </w:rPr>
        <w:t xml:space="preserve">1. INTRODUÇÃO</w:t>
      </w:r>
    </w:p>
    <w:p>
      <w:pPr>
        <w:spacing w:after="200" w:line="276"/>
        <w:jc w:val="both"/>
      </w:pPr>
      <w:r>
        <w:rPr>
          <w:sz w:val="22"/>
          <w:szCs w:val="22"/>
        </w:rPr>
        <w:t xml:space="preserve">A Computação em Nuvem consolidou-se, na última década, como o principal paradigma de provisionamento de infraestrutura, plataformas e software, permitindo que organizações de todos os portes acessem recursos computacionais escaláveis sob demanda, sem a necessidade de investimentos iniciais elevados em hardware próprio (CAPEX) e com custos convertidos em despesas operacionais recorrentes (OPEX).</w:t>
      </w:r>
    </w:p>
    <w:p>
      <w:pPr>
        <w:spacing w:after="200" w:line="276"/>
        <w:jc w:val="both"/>
      </w:pPr>
      <w:r>
        <w:rPr>
          <w:sz w:val="22"/>
          <w:szCs w:val="22"/>
        </w:rPr>
        <w:t xml:space="preserve">O presente relatório tem por objetivo consolidar os resultados da atividade de Sistematização da disciplina Computação em Nuvem, ministrada pelo Prof. João Bachiega Jr., sistematizando os principais fundamentos e tendências abordados ao longo do semestre: os sistemas de virtualização que sustentam a nuvem, os modelos de serviço (IaaS, PaaS e SaaS), a arquitetura de microsserviços como padrão de desenvolvimento de aplicações modernas e os desafios envolvidos na definição e no cumprimento de Acordos de Nível de Serviço (SLA).</w:t>
      </w:r>
    </w:p>
    <w:p>
      <w:pPr>
        <w:spacing w:after="200" w:line="276"/>
        <w:jc w:val="both"/>
      </w:pPr>
      <w:r>
        <w:rPr>
          <w:sz w:val="22"/>
          <w:szCs w:val="22"/>
        </w:rPr>
        <w:t xml:space="preserve">A estrutura deste documento segue a organização sugerida pela disciplina: inicia-se pelos sistemas de virtualização, base tecnológica da nuvem; avança para os conceitos e modelos de serviço da computação em nuvem propriamente dita; discute a arquitetura de microsserviços como forma predominante de construção de aplicações distribuídas na nuvem; analisa os desafios de definição e cumprimento de SLAs em ambientes multi-tenant e distribuídos; apresenta as principais soluções e tendências que respondem a esses desafios; e encerra com uma conclusão que articula os temas estudados. O conteúdo aqui sistematizado corresponde, em versão condensada, ao material apresentado no vídeo de até cinco minutos indicado no início deste relatório.</w:t>
      </w:r>
    </w:p>
    <w:p>
      <w:pPr>
        <w:pStyle w:val="Heading1"/>
        <w:spacing w:after="200" w:before="400"/>
      </w:pPr>
      <w:r>
        <w:rPr>
          <w:b/>
          <w:bCs/>
          <w:color w:val="1F3864"/>
          <w:sz w:val="28"/>
          <w:szCs w:val="28"/>
        </w:rPr>
        <w:t xml:space="preserve">2. SISTEMAS DE VIRTUALIZAÇÃO</w:t>
      </w:r>
    </w:p>
    <w:p>
      <w:pPr>
        <w:spacing w:after="200" w:line="276"/>
        <w:jc w:val="both"/>
      </w:pPr>
      <w:r>
        <w:rPr>
          <w:sz w:val="22"/>
          <w:szCs w:val="22"/>
        </w:rPr>
        <w:t xml:space="preserve">Antes de tratar da virtualização propriamente dita, é útil distinguir dois modelos de computação. Na computação centralizada, um único computador de grande capacidade — um mainframe ou um supercomputador — concentra todo o processamento; é o caso das máquinas listadas no ranking Top500, que reúne os computadores mais poderosos do mundo, com milhões de núcleos de processamento dedicados a cargas de trabalho específicas (pesquisa científica, simulações, análise sísmica, entre outras). Na computação distribuída, por sua vez, a carga de trabalho é dividida entre diversos servidores de arquitetura mais comum (arquitetura x86), que somam seus recursos para resolver o que um único computador não resolveria sozinho. A computação em nuvem apoia-se essencialmente no modelo distribuído: em vez de concentrar capacidade em uma máquina única, os provedores somam milhares de servidores convencionais, o que também explica por que ela depende tão fortemente da tecnologia de virtualização para entregar, de forma isolada e sob demanda, pedaços desses recursos a cada cliente.</w:t>
      </w:r>
    </w:p>
    <w:p>
      <w:pPr>
        <w:spacing w:after="200" w:line="276"/>
        <w:jc w:val="both"/>
      </w:pPr>
      <w:r>
        <w:rPr>
          <w:sz w:val="22"/>
          <w:szCs w:val="22"/>
        </w:rPr>
        <w:t xml:space="preserve">A virtualização é a tecnologia que permite abstrair recursos físicos de hardware (processamento, memória, armazenamento e rede) em múltiplas instâncias lógicas independentes, chamadas máquinas virtuais (VMs). Segundo Souza Neto (2016), uma máquina virtual é um container de software totalmente isolado, capaz de executar sistemas operacionais e aplicações próprias como se fosse um servidor físico. Cada VM executa seu próprio sistema operacional e suas aplicações, isolada das demais, ainda que todas compartilhem o mesmo hospedeiro físico. Esse mecanismo é a base tecnológica que viabiliza a multi-tenancy (múltiplos clientes compartilhando a mesma infraestrutura física de forma isolada e segura), característica essencial da computação em nuvem. Embora a tecnologia de virtualização tenha origem na década de 1960, sua adoção ampla só ocorreu a partir do início dos anos 2000, e ela vai muito além da virtualização de servidores, abrangendo também virtualização de aplicações, de funções de rede e de desktops.</w:t>
      </w:r>
    </w:p>
    <w:p>
      <w:pPr>
        <w:pStyle w:val="Heading2"/>
        <w:spacing w:after="120" w:before="260"/>
      </w:pPr>
      <w:r>
        <w:rPr>
          <w:b/>
          <w:bCs/>
          <w:i/>
          <w:iCs/>
          <w:color w:val="2E74B5"/>
          <w:sz w:val="24"/>
          <w:szCs w:val="24"/>
        </w:rPr>
        <w:t xml:space="preserve">2.1 Hipervisores</w:t>
      </w:r>
    </w:p>
    <w:p>
      <w:pPr>
        <w:spacing w:after="200" w:line="276"/>
        <w:jc w:val="both"/>
      </w:pPr>
      <w:r>
        <w:rPr>
          <w:sz w:val="22"/>
          <w:szCs w:val="22"/>
        </w:rPr>
        <w:t xml:space="preserve">O componente central da virtualização é o hipervisor (ou Virtual Machine Monitor — VMM): um software que cria e executa máquinas virtuais, permitindo que um computador hospedeiro (host) ofereça suporte a várias VMs convidadas (guest), compartilhando entre elas, de forma virtualizada, recursos como memória e processamento. Entre suas funções principais estão o isolamento entre as VMs, o gerenciamento de memória e de CPU, a virtualização de dispositivos e o gerenciamento de armazenamento.</w:t>
      </w:r>
    </w:p>
    <w:p>
      <w:pPr>
        <w:spacing w:after="200" w:line="276"/>
        <w:jc w:val="both"/>
      </w:pPr>
      <w:r>
        <w:rPr>
          <w:sz w:val="22"/>
          <w:szCs w:val="22"/>
        </w:rPr>
        <w:t xml:space="preserve">Os hipervisores classificam-se em dois tipos, conforme sintetizado no quadro a seguir.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19"/>
                <w:szCs w:val="19"/>
              </w:rPr>
              <w:t xml:space="preserve">Características</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Tipo 1 (Bare Metal)</w:t>
            </w:r>
          </w:p>
        </w:tc>
        <w:tc>
          <w:tcPr>
            <w:tcW w:type="dxa" w:w="3550"/>
            <w:shd w:fill="1F3864" w:val="clear"/>
            <w:tcMar>
              <w:top w:type="dxa" w:w="100"/>
              <w:left w:type="dxa" w:w="120"/>
              <w:bottom w:type="dxa" w:w="100"/>
              <w:right w:type="dxa" w:w="120"/>
            </w:tcMar>
            <w:vAlign w:val="center"/>
          </w:tcPr>
          <w:p>
            <w:pPr>
              <w:jc w:val="left"/>
            </w:pPr>
            <w:r>
              <w:rPr>
                <w:b/>
                <w:bCs/>
                <w:color w:val="FFFFFF"/>
                <w:sz w:val="19"/>
                <w:szCs w:val="19"/>
              </w:rPr>
              <w:t xml:space="preserve">Tipo 2 (Hosted)</w:t>
            </w:r>
          </w:p>
        </w:tc>
      </w:tr>
      <w:tr>
        <w:tc>
          <w:tcPr>
            <w:tcW w:type="dxa" w:w="2200"/>
            <w:tcMar>
              <w:top w:type="dxa" w:w="100"/>
              <w:left w:type="dxa" w:w="120"/>
              <w:bottom w:type="dxa" w:w="100"/>
              <w:right w:type="dxa" w:w="120"/>
            </w:tcMar>
            <w:vAlign w:val="center"/>
          </w:tcPr>
          <w:p>
            <w:pPr>
              <w:jc w:val="left"/>
            </w:pPr>
            <w:r>
              <w:rPr>
                <w:b w:val="false"/>
                <w:bCs w:val="false"/>
                <w:color w:val="000000"/>
                <w:sz w:val="19"/>
                <w:szCs w:val="19"/>
              </w:rPr>
              <w:t xml:space="preserve">Instalação</w:t>
            </w:r>
          </w:p>
        </w:tc>
        <w:tc>
          <w:tcPr>
            <w:tcW w:type="dxa" w:w="3600"/>
            <w:tcMar>
              <w:top w:type="dxa" w:w="100"/>
              <w:left w:type="dxa" w:w="120"/>
              <w:bottom w:type="dxa" w:w="100"/>
              <w:right w:type="dxa" w:w="120"/>
            </w:tcMar>
            <w:vAlign w:val="center"/>
          </w:tcPr>
          <w:p>
            <w:pPr>
              <w:jc w:val="left"/>
            </w:pPr>
            <w:r>
              <w:rPr>
                <w:b w:val="false"/>
                <w:bCs w:val="false"/>
                <w:color w:val="000000"/>
                <w:sz w:val="19"/>
                <w:szCs w:val="19"/>
              </w:rPr>
              <w:t xml:space="preserve">Diretamente sobre o hardware físico</w:t>
            </w:r>
          </w:p>
        </w:tc>
        <w:tc>
          <w:tcPr>
            <w:tcW w:type="dxa" w:w="3550"/>
            <w:tcMar>
              <w:top w:type="dxa" w:w="100"/>
              <w:left w:type="dxa" w:w="120"/>
              <w:bottom w:type="dxa" w:w="100"/>
              <w:right w:type="dxa" w:w="120"/>
            </w:tcMar>
            <w:vAlign w:val="center"/>
          </w:tcPr>
          <w:p>
            <w:pPr>
              <w:jc w:val="left"/>
            </w:pPr>
            <w:r>
              <w:rPr>
                <w:b w:val="false"/>
                <w:bCs w:val="false"/>
                <w:color w:val="000000"/>
                <w:sz w:val="19"/>
                <w:szCs w:val="19"/>
              </w:rPr>
              <w:t xml:space="preserve">Sobre um sistema operacional hospedeiro</w:t>
            </w:r>
          </w:p>
        </w:tc>
      </w:tr>
      <w:tr>
        <w:tc>
          <w:tcPr>
            <w:tcW w:type="dxa" w:w="22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Desempenho</w:t>
            </w:r>
          </w:p>
        </w:tc>
        <w:tc>
          <w:tcPr>
            <w:tcW w:type="dxa" w:w="36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Mais alto (acesso direto ao hardware)</w:t>
            </w:r>
          </w:p>
        </w:tc>
        <w:tc>
          <w:tcPr>
            <w:tcW w:type="dxa" w:w="35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Menor (camada adicional de software)</w:t>
            </w:r>
          </w:p>
        </w:tc>
      </w:tr>
      <w:tr>
        <w:tc>
          <w:tcPr>
            <w:tcW w:type="dxa" w:w="2200"/>
            <w:tcMar>
              <w:top w:type="dxa" w:w="100"/>
              <w:left w:type="dxa" w:w="120"/>
              <w:bottom w:type="dxa" w:w="100"/>
              <w:right w:type="dxa" w:w="120"/>
            </w:tcMar>
            <w:vAlign w:val="center"/>
          </w:tcPr>
          <w:p>
            <w:pPr>
              <w:jc w:val="left"/>
            </w:pPr>
            <w:r>
              <w:rPr>
                <w:b w:val="false"/>
                <w:bCs w:val="false"/>
                <w:color w:val="000000"/>
                <w:sz w:val="19"/>
                <w:szCs w:val="19"/>
              </w:rPr>
              <w:t xml:space="preserve">Segurança</w:t>
            </w:r>
          </w:p>
        </w:tc>
        <w:tc>
          <w:tcPr>
            <w:tcW w:type="dxa" w:w="3600"/>
            <w:tcMar>
              <w:top w:type="dxa" w:w="100"/>
              <w:left w:type="dxa" w:w="120"/>
              <w:bottom w:type="dxa" w:w="100"/>
              <w:right w:type="dxa" w:w="120"/>
            </w:tcMar>
            <w:vAlign w:val="center"/>
          </w:tcPr>
          <w:p>
            <w:pPr>
              <w:jc w:val="left"/>
            </w:pPr>
            <w:r>
              <w:rPr>
                <w:b w:val="false"/>
                <w:bCs w:val="false"/>
                <w:color w:val="000000"/>
                <w:sz w:val="19"/>
                <w:szCs w:val="19"/>
              </w:rPr>
              <w:t xml:space="preserve">Maior isolamento e segurança</w:t>
            </w:r>
          </w:p>
        </w:tc>
        <w:tc>
          <w:tcPr>
            <w:tcW w:type="dxa" w:w="3550"/>
            <w:tcMar>
              <w:top w:type="dxa" w:w="100"/>
              <w:left w:type="dxa" w:w="120"/>
              <w:bottom w:type="dxa" w:w="100"/>
              <w:right w:type="dxa" w:w="120"/>
            </w:tcMar>
            <w:vAlign w:val="center"/>
          </w:tcPr>
          <w:p>
            <w:pPr>
              <w:jc w:val="left"/>
            </w:pPr>
            <w:r>
              <w:rPr>
                <w:b w:val="false"/>
                <w:bCs w:val="false"/>
                <w:color w:val="000000"/>
                <w:sz w:val="19"/>
                <w:szCs w:val="19"/>
              </w:rPr>
              <w:t xml:space="preserve">Menor isolamento (depende do SO host)</w:t>
            </w:r>
          </w:p>
        </w:tc>
      </w:tr>
      <w:tr>
        <w:tc>
          <w:tcPr>
            <w:tcW w:type="dxa" w:w="22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Uso típico</w:t>
            </w:r>
          </w:p>
        </w:tc>
        <w:tc>
          <w:tcPr>
            <w:tcW w:type="dxa" w:w="36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Data centers, servidores, nuvem pública</w:t>
            </w:r>
          </w:p>
        </w:tc>
        <w:tc>
          <w:tcPr>
            <w:tcW w:type="dxa" w:w="35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Estações de trabalho, testes, desenvolvimento</w:t>
            </w:r>
          </w:p>
        </w:tc>
      </w:tr>
      <w:tr>
        <w:tc>
          <w:tcPr>
            <w:tcW w:type="dxa" w:w="2200"/>
            <w:tcMar>
              <w:top w:type="dxa" w:w="100"/>
              <w:left w:type="dxa" w:w="120"/>
              <w:bottom w:type="dxa" w:w="100"/>
              <w:right w:type="dxa" w:w="120"/>
            </w:tcMar>
            <w:vAlign w:val="center"/>
          </w:tcPr>
          <w:p>
            <w:pPr>
              <w:jc w:val="left"/>
            </w:pPr>
            <w:r>
              <w:rPr>
                <w:b w:val="false"/>
                <w:bCs w:val="false"/>
                <w:color w:val="000000"/>
                <w:sz w:val="19"/>
                <w:szCs w:val="19"/>
              </w:rPr>
              <w:t xml:space="preserve">Exemplos</w:t>
            </w:r>
          </w:p>
        </w:tc>
        <w:tc>
          <w:tcPr>
            <w:tcW w:type="dxa" w:w="3600"/>
            <w:tcMar>
              <w:top w:type="dxa" w:w="100"/>
              <w:left w:type="dxa" w:w="120"/>
              <w:bottom w:type="dxa" w:w="100"/>
              <w:right w:type="dxa" w:w="120"/>
            </w:tcMar>
            <w:vAlign w:val="center"/>
          </w:tcPr>
          <w:p>
            <w:pPr>
              <w:jc w:val="left"/>
            </w:pPr>
            <w:r>
              <w:rPr>
                <w:b w:val="false"/>
                <w:bCs w:val="false"/>
                <w:color w:val="000000"/>
                <w:sz w:val="19"/>
                <w:szCs w:val="19"/>
              </w:rPr>
              <w:t xml:space="preserve">VMware ESXi, Microsoft Hyper-V, Xen, KVM</w:t>
            </w:r>
          </w:p>
        </w:tc>
        <w:tc>
          <w:tcPr>
            <w:tcW w:type="dxa" w:w="3550"/>
            <w:tcMar>
              <w:top w:type="dxa" w:w="100"/>
              <w:left w:type="dxa" w:w="120"/>
              <w:bottom w:type="dxa" w:w="100"/>
              <w:right w:type="dxa" w:w="120"/>
            </w:tcMar>
            <w:vAlign w:val="center"/>
          </w:tcPr>
          <w:p>
            <w:pPr>
              <w:jc w:val="left"/>
            </w:pPr>
            <w:r>
              <w:rPr>
                <w:b w:val="false"/>
                <w:bCs w:val="false"/>
                <w:color w:val="000000"/>
                <w:sz w:val="19"/>
                <w:szCs w:val="19"/>
              </w:rPr>
              <w:t xml:space="preserve">Oracle VirtualBox, VMware Workstation, Parallels</w:t>
            </w:r>
          </w:p>
        </w:tc>
      </w:tr>
    </w:tbl>
    <w:p>
      <w:pPr>
        <w:spacing w:after="200"/>
      </w:pPr>
    </w:p>
    <w:p>
      <w:pPr>
        <w:spacing w:after="200" w:line="276"/>
        <w:jc w:val="both"/>
      </w:pPr>
      <w:r>
        <w:rPr>
          <w:sz w:val="22"/>
          <w:szCs w:val="22"/>
        </w:rPr>
        <w:t xml:space="preserve">Em resumo, hipervisores do Tipo 1 são mais robustos e eficientes, sendo a escolha natural para ambientes de produção e de nuvem; hipervisores do Tipo 2 são mais práticos para uso em desktops e laboratórios, priorizando praticidade em detrimento de desempenho e isolamento.</w:t>
      </w:r>
    </w:p>
    <w:p>
      <w:pPr>
        <w:pStyle w:val="Heading2"/>
        <w:spacing w:after="120" w:before="260"/>
      </w:pPr>
      <w:r>
        <w:rPr>
          <w:b/>
          <w:bCs/>
          <w:i/>
          <w:iCs/>
          <w:color w:val="2E74B5"/>
          <w:sz w:val="24"/>
          <w:szCs w:val="24"/>
        </w:rPr>
        <w:t xml:space="preserve">2.2 Vantagens da virtualização e custo total de propriedade (TCO)</w:t>
      </w:r>
    </w:p>
    <w:p>
      <w:pPr>
        <w:spacing w:after="200" w:line="276"/>
        <w:jc w:val="both"/>
      </w:pPr>
      <w:r>
        <w:rPr>
          <w:sz w:val="22"/>
          <w:szCs w:val="22"/>
        </w:rPr>
        <w:t xml:space="preserve">Na computação tradicional, cada aplicação frequentemente demandava um servidor dedicado (uma relação de uma aplicação para um servidor, ou de dez aplicações para dez servidores), o que resultava em baixo aproveitamento de recursos: alguns servidores ficavam próximos da capacidade máxima, enquanto outros permaneciam ociosos, sem que fosse possível remanejar esse excedente entre eles. Além do custo de aquisição, é importante considerar o Custo Total de Propriedade (Total Cost of Ownership — TCO): o custo ao longo de todo o ciclo de vida da solução, e não apenas o custo de aquisição. O TCO soma custos diretos, mais fáceis de mensurar (hardware, software, operação e administração), a custos indiretos, mais difíceis de mensurar — entre eles o custo do downtime da solução, como vendas on-line perdidas ou descontos concedidos ao cliente final. Como observam Souza Neto (2016), se o hardware adquirido é de baixa qualidade, o custo direto tende a influenciar o custo indireto, pois o custo com o downtime tende a ser maior. Em termos contábeis, o TCO da computação tradicional corresponde à soma de CAPEX (investimento, como a compra do servidor) e OPEX (custo operacional de manutenção, suporte e atualização); ao migrar para a computação em nuvem, a organização deixa de ter custo de aquisição — já que está contratando um serviço, e não comprando um produto — e passa a ter apenas OPEX, o que é frequentemente citado como uma das justificativas financeiras para a adoção da nuvem.</w:t>
      </w:r>
    </w:p>
    <w:p>
      <w:pPr>
        <w:spacing w:after="200" w:line="276"/>
        <w:jc w:val="both"/>
      </w:pPr>
      <w:r>
        <w:rPr>
          <w:sz w:val="22"/>
          <w:szCs w:val="22"/>
        </w:rPr>
        <w:t xml:space="preserve">Entre as principais vantagens da virtualização destacam-se: custos de TI mais previsíveis; maior agilidade na recuperação de desastres e na continuidade do negócio, reduzindo o downtime (por exemplo, por meio de clusters de servidores que se comportam virtualmente como um único recurso, e de snapshots que permitem migrar uma máquina automaticamente em caso de falha do hospedeiro); redução do próprio TCO; redução do tempo de entrega de novos produtos e serviços; redução de espaço físico e de consumo de energia; redução da complexidade de ambientes de teste e produção; flexibilidade para criar e configurar novas máquinas virtuais; gerenciamento centralizado; e padronização das plataformas.</w:t>
      </w:r>
    </w:p>
    <w:p>
      <w:pPr>
        <w:pStyle w:val="Heading2"/>
        <w:spacing w:after="120" w:before="260"/>
      </w:pPr>
      <w:r>
        <w:rPr>
          <w:b/>
          <w:bCs/>
          <w:i/>
          <w:iCs/>
          <w:color w:val="2E74B5"/>
          <w:sz w:val="24"/>
          <w:szCs w:val="24"/>
        </w:rPr>
        <w:t xml:space="preserve">2.3 Virtualização de contêineres</w:t>
      </w:r>
    </w:p>
    <w:p>
      <w:pPr>
        <w:spacing w:after="200" w:line="276"/>
        <w:jc w:val="both"/>
      </w:pPr>
      <w:r>
        <w:rPr>
          <w:sz w:val="22"/>
          <w:szCs w:val="22"/>
        </w:rPr>
        <w:t xml:space="preserve">Uma evolução relevante da virtualização tradicional é a conteinerização, na qual, em vez de virtualizar hardware completo, virtualiza-se o sistema operacional: os contêineres compartilham o mesmo kernel do hospedeiro, mas mantêm processos, sistemas de arquivos e redes isolados entre si. Enquanto as máquinas virtuais são mais indicadas para virtualização de infraestrutura, os contêineres são mais indicados para virtualização de aplicativos: por não incluírem um sistema operacional completo, são mais leves, mais rápidos de criar e de remover — em contrapartida, oferecem menos recursos de configuração e menor isolamento do que uma VM. O quadro a seguir resume as principais diferenças.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rPr>
          <w:tblHeader/>
        </w:trPr>
        <w:tc>
          <w:tcPr>
            <w:tcW w:type="dxa" w:w="2900"/>
            <w:shd w:fill="1F3864" w:val="clear"/>
            <w:tcMar>
              <w:top w:type="dxa" w:w="100"/>
              <w:left w:type="dxa" w:w="120"/>
              <w:bottom w:type="dxa" w:w="100"/>
              <w:right w:type="dxa" w:w="120"/>
            </w:tcMar>
            <w:vAlign w:val="center"/>
          </w:tcPr>
          <w:p>
            <w:pPr>
              <w:jc w:val="left"/>
            </w:pPr>
            <w:r>
              <w:rPr>
                <w:b/>
                <w:bCs/>
                <w:color w:val="FFFFFF"/>
                <w:sz w:val="19"/>
                <w:szCs w:val="19"/>
              </w:rPr>
              <w:t xml:space="preserve">Aspecto</w:t>
            </w:r>
          </w:p>
        </w:tc>
        <w:tc>
          <w:tcPr>
            <w:tcW w:type="dxa" w:w="3200"/>
            <w:shd w:fill="1F3864" w:val="clear"/>
            <w:tcMar>
              <w:top w:type="dxa" w:w="100"/>
              <w:left w:type="dxa" w:w="120"/>
              <w:bottom w:type="dxa" w:w="100"/>
              <w:right w:type="dxa" w:w="120"/>
            </w:tcMar>
            <w:vAlign w:val="center"/>
          </w:tcPr>
          <w:p>
            <w:pPr>
              <w:jc w:val="left"/>
            </w:pPr>
            <w:r>
              <w:rPr>
                <w:b/>
                <w:bCs/>
                <w:color w:val="FFFFFF"/>
                <w:sz w:val="19"/>
                <w:szCs w:val="19"/>
              </w:rPr>
              <w:t xml:space="preserve">Máquina Virtual (VM)</w:t>
            </w:r>
          </w:p>
        </w:tc>
        <w:tc>
          <w:tcPr>
            <w:tcW w:type="dxa" w:w="3250"/>
            <w:shd w:fill="1F3864" w:val="clear"/>
            <w:tcMar>
              <w:top w:type="dxa" w:w="100"/>
              <w:left w:type="dxa" w:w="120"/>
              <w:bottom w:type="dxa" w:w="100"/>
              <w:right w:type="dxa" w:w="120"/>
            </w:tcMar>
            <w:vAlign w:val="center"/>
          </w:tcPr>
          <w:p>
            <w:pPr>
              <w:jc w:val="left"/>
            </w:pPr>
            <w:r>
              <w:rPr>
                <w:b/>
                <w:bCs/>
                <w:color w:val="FFFFFF"/>
                <w:sz w:val="19"/>
                <w:szCs w:val="19"/>
              </w:rPr>
              <w:t xml:space="preserve">Contêiner</w:t>
            </w:r>
          </w:p>
        </w:tc>
      </w:tr>
      <w:tr>
        <w:tc>
          <w:tcPr>
            <w:tcW w:type="dxa" w:w="2900"/>
            <w:tcMar>
              <w:top w:type="dxa" w:w="100"/>
              <w:left w:type="dxa" w:w="120"/>
              <w:bottom w:type="dxa" w:w="100"/>
              <w:right w:type="dxa" w:w="120"/>
            </w:tcMar>
            <w:vAlign w:val="center"/>
          </w:tcPr>
          <w:p>
            <w:pPr>
              <w:jc w:val="left"/>
            </w:pPr>
            <w:r>
              <w:rPr>
                <w:b w:val="false"/>
                <w:bCs w:val="false"/>
                <w:color w:val="000000"/>
                <w:sz w:val="19"/>
                <w:szCs w:val="19"/>
              </w:rPr>
              <w:t xml:space="preserve">Kernel</w:t>
            </w:r>
          </w:p>
        </w:tc>
        <w:tc>
          <w:tcPr>
            <w:tcW w:type="dxa" w:w="3200"/>
            <w:tcMar>
              <w:top w:type="dxa" w:w="100"/>
              <w:left w:type="dxa" w:w="120"/>
              <w:bottom w:type="dxa" w:w="100"/>
              <w:right w:type="dxa" w:w="120"/>
            </w:tcMar>
            <w:vAlign w:val="center"/>
          </w:tcPr>
          <w:p>
            <w:pPr>
              <w:jc w:val="left"/>
            </w:pPr>
            <w:r>
              <w:rPr>
                <w:b w:val="false"/>
                <w:bCs w:val="false"/>
                <w:color w:val="000000"/>
                <w:sz w:val="19"/>
                <w:szCs w:val="19"/>
              </w:rPr>
              <w:t xml:space="preserve">Próprio</w:t>
            </w:r>
          </w:p>
        </w:tc>
        <w:tc>
          <w:tcPr>
            <w:tcW w:type="dxa" w:w="3250"/>
            <w:tcMar>
              <w:top w:type="dxa" w:w="100"/>
              <w:left w:type="dxa" w:w="120"/>
              <w:bottom w:type="dxa" w:w="100"/>
              <w:right w:type="dxa" w:w="120"/>
            </w:tcMar>
            <w:vAlign w:val="center"/>
          </w:tcPr>
          <w:p>
            <w:pPr>
              <w:jc w:val="left"/>
            </w:pPr>
            <w:r>
              <w:rPr>
                <w:b w:val="false"/>
                <w:bCs w:val="false"/>
                <w:color w:val="000000"/>
                <w:sz w:val="19"/>
                <w:szCs w:val="19"/>
              </w:rPr>
              <w:t xml:space="preserve">Compartilhado com o hospedeiro</w:t>
            </w:r>
          </w:p>
        </w:tc>
      </w:tr>
      <w:tr>
        <w:tc>
          <w:tcPr>
            <w:tcW w:type="dxa" w:w="29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Peso</w:t>
            </w:r>
          </w:p>
        </w:tc>
        <w:tc>
          <w:tcPr>
            <w:tcW w:type="dxa" w:w="32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Mais pesada</w:t>
            </w:r>
          </w:p>
        </w:tc>
        <w:tc>
          <w:tcPr>
            <w:tcW w:type="dxa" w:w="32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Mais leve</w:t>
            </w:r>
          </w:p>
        </w:tc>
      </w:tr>
      <w:tr>
        <w:tc>
          <w:tcPr>
            <w:tcW w:type="dxa" w:w="2900"/>
            <w:tcMar>
              <w:top w:type="dxa" w:w="100"/>
              <w:left w:type="dxa" w:w="120"/>
              <w:bottom w:type="dxa" w:w="100"/>
              <w:right w:type="dxa" w:w="120"/>
            </w:tcMar>
            <w:vAlign w:val="center"/>
          </w:tcPr>
          <w:p>
            <w:pPr>
              <w:jc w:val="left"/>
            </w:pPr>
            <w:r>
              <w:rPr>
                <w:b w:val="false"/>
                <w:bCs w:val="false"/>
                <w:color w:val="000000"/>
                <w:sz w:val="19"/>
                <w:szCs w:val="19"/>
              </w:rPr>
              <w:t xml:space="preserve">Inicialização</w:t>
            </w:r>
          </w:p>
        </w:tc>
        <w:tc>
          <w:tcPr>
            <w:tcW w:type="dxa" w:w="3200"/>
            <w:tcMar>
              <w:top w:type="dxa" w:w="100"/>
              <w:left w:type="dxa" w:w="120"/>
              <w:bottom w:type="dxa" w:w="100"/>
              <w:right w:type="dxa" w:w="120"/>
            </w:tcMar>
            <w:vAlign w:val="center"/>
          </w:tcPr>
          <w:p>
            <w:pPr>
              <w:jc w:val="left"/>
            </w:pPr>
            <w:r>
              <w:rPr>
                <w:b w:val="false"/>
                <w:bCs w:val="false"/>
                <w:color w:val="000000"/>
                <w:sz w:val="19"/>
                <w:szCs w:val="19"/>
              </w:rPr>
              <w:t xml:space="preserve">Mais lenta</w:t>
            </w:r>
          </w:p>
        </w:tc>
        <w:tc>
          <w:tcPr>
            <w:tcW w:type="dxa" w:w="3250"/>
            <w:tcMar>
              <w:top w:type="dxa" w:w="100"/>
              <w:left w:type="dxa" w:w="120"/>
              <w:bottom w:type="dxa" w:w="100"/>
              <w:right w:type="dxa" w:w="120"/>
            </w:tcMar>
            <w:vAlign w:val="center"/>
          </w:tcPr>
          <w:p>
            <w:pPr>
              <w:jc w:val="left"/>
            </w:pPr>
            <w:r>
              <w:rPr>
                <w:b w:val="false"/>
                <w:bCs w:val="false"/>
                <w:color w:val="000000"/>
                <w:sz w:val="19"/>
                <w:szCs w:val="19"/>
              </w:rPr>
              <w:t xml:space="preserve">Rápida</w:t>
            </w:r>
          </w:p>
        </w:tc>
      </w:tr>
      <w:tr>
        <w:tc>
          <w:tcPr>
            <w:tcW w:type="dxa" w:w="29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Uso de disco</w:t>
            </w:r>
          </w:p>
        </w:tc>
        <w:tc>
          <w:tcPr>
            <w:tcW w:type="dxa" w:w="32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Maior</w:t>
            </w:r>
          </w:p>
        </w:tc>
        <w:tc>
          <w:tcPr>
            <w:tcW w:type="dxa" w:w="32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Menor</w:t>
            </w:r>
          </w:p>
        </w:tc>
      </w:tr>
      <w:tr>
        <w:tc>
          <w:tcPr>
            <w:tcW w:type="dxa" w:w="2900"/>
            <w:tcMar>
              <w:top w:type="dxa" w:w="100"/>
              <w:left w:type="dxa" w:w="120"/>
              <w:bottom w:type="dxa" w:w="100"/>
              <w:right w:type="dxa" w:w="120"/>
            </w:tcMar>
            <w:vAlign w:val="center"/>
          </w:tcPr>
          <w:p>
            <w:pPr>
              <w:jc w:val="left"/>
            </w:pPr>
            <w:r>
              <w:rPr>
                <w:b w:val="false"/>
                <w:bCs w:val="false"/>
                <w:color w:val="000000"/>
                <w:sz w:val="19"/>
                <w:szCs w:val="19"/>
              </w:rPr>
              <w:t xml:space="preserve">Isolamento / desempenho</w:t>
            </w:r>
          </w:p>
        </w:tc>
        <w:tc>
          <w:tcPr>
            <w:tcW w:type="dxa" w:w="3200"/>
            <w:tcMar>
              <w:top w:type="dxa" w:w="100"/>
              <w:left w:type="dxa" w:w="120"/>
              <w:bottom w:type="dxa" w:w="100"/>
              <w:right w:type="dxa" w:w="120"/>
            </w:tcMar>
            <w:vAlign w:val="center"/>
          </w:tcPr>
          <w:p>
            <w:pPr>
              <w:jc w:val="left"/>
            </w:pPr>
            <w:r>
              <w:rPr>
                <w:b w:val="false"/>
                <w:bCs w:val="false"/>
                <w:color w:val="000000"/>
                <w:sz w:val="19"/>
                <w:szCs w:val="19"/>
              </w:rPr>
              <w:t xml:space="preserve">Maior isolamento</w:t>
            </w:r>
          </w:p>
        </w:tc>
        <w:tc>
          <w:tcPr>
            <w:tcW w:type="dxa" w:w="3250"/>
            <w:tcMar>
              <w:top w:type="dxa" w:w="100"/>
              <w:left w:type="dxa" w:w="120"/>
              <w:bottom w:type="dxa" w:w="100"/>
              <w:right w:type="dxa" w:w="120"/>
            </w:tcMar>
            <w:vAlign w:val="center"/>
          </w:tcPr>
          <w:p>
            <w:pPr>
              <w:jc w:val="left"/>
            </w:pPr>
            <w:r>
              <w:rPr>
                <w:b w:val="false"/>
                <w:bCs w:val="false"/>
                <w:color w:val="000000"/>
                <w:sz w:val="19"/>
                <w:szCs w:val="19"/>
              </w:rPr>
              <w:t xml:space="preserve">Maior desempenho</w:t>
            </w:r>
          </w:p>
        </w:tc>
      </w:tr>
    </w:tbl>
    <w:p>
      <w:pPr>
        <w:spacing w:after="200"/>
      </w:pPr>
    </w:p>
    <w:p>
      <w:pPr>
        <w:spacing w:after="200" w:line="276"/>
        <w:jc w:val="both"/>
      </w:pPr>
      <w:r>
        <w:rPr>
          <w:sz w:val="22"/>
          <w:szCs w:val="22"/>
        </w:rPr>
        <w:t xml:space="preserve">Essa abordagem, popularizada pelo Docker, tornou-se o padrão de fato para o empacotamento de microsserviços na nuvem. Como uma aplicação real pode ser composta por dezenas ou centenas de instâncias de contêineres, torna-se indispensável o uso de plataformas de orquestração, responsáveis por: provisionamento e implantação; configuração e alocação de recursos; escala ou remoção de contêineres conforme o balanceamento de carga da infraestrutura; balanceamento de carga e roteamento de tráfego; monitoramento da integridade de cada contêiner; e proteção das interações entre contêineres (REDHAT, 2024).</w:t>
      </w:r>
    </w:p>
    <w:p>
      <w:pPr>
        <w:pStyle w:val="Heading2"/>
        <w:spacing w:after="120" w:before="260"/>
      </w:pPr>
      <w:r>
        <w:rPr>
          <w:b/>
          <w:bCs/>
          <w:i/>
          <w:iCs/>
          <w:color w:val="2E74B5"/>
          <w:sz w:val="24"/>
          <w:szCs w:val="24"/>
        </w:rPr>
        <w:t xml:space="preserve">2.4 Software Defined Data Center (SDDC)</w:t>
      </w:r>
    </w:p>
    <w:p>
      <w:pPr>
        <w:spacing w:after="200" w:line="276"/>
        <w:jc w:val="both"/>
      </w:pPr>
      <w:r>
        <w:rPr>
          <w:sz w:val="22"/>
          <w:szCs w:val="22"/>
        </w:rPr>
        <w:t xml:space="preserve">O conceito de Software Defined Data Center (SDDC) descreve um data center — esteja ele na nuvem ou em ambiente on-premises — cuja infraestrutura (servidores, rede e armazenamento) é integralmente virtualizada e gerenciada por um conjunto único de ferramentas de software. Esse modelo permite melhor utilização dos recursos computacionais, redução de despesas, maior agilidade na entrega de serviços de infraestrutura e automação das operações do data center, sendo um ponto de apoio importante para a transformação digital das organizações — o mesmo princípio que sustenta, por exemplo, a movimentação automática de máquinas virtuais entre hosts físicos sem interrupção perceptível do serviço.</w:t>
      </w:r>
    </w:p>
    <w:p>
      <w:pPr>
        <w:spacing w:after="200" w:line="276"/>
        <w:jc w:val="both"/>
      </w:pPr>
      <w:r>
        <w:rPr>
          <w:sz w:val="22"/>
          <w:szCs w:val="22"/>
        </w:rPr>
        <w:t xml:space="preserve">Um erro comum na migração de aplicações para a nuvem é o chamado "lift-and-shift" mal planejado: replicar exatamente a configuração do ambiente on-premises (por exemplo, alocar uma máquina virtual com a mesma quantidade de memória RAM do servidor físico de origem) sem redimensionar a solução para aproveitar a elasticidade da nuvem. Isso costuma gerar recursos contratados e pagos, mas subutilizados. Migrar para a nuvem funciona tecnicamente na maioria dos casos, mas nem sempre gera vantagem financeira ou técnica se a aplicação não for adaptada — não necessariamente reescrita por completo — para reconhecer e aproveitar o aumento ou a redução de recursos computacionais ao longo do tempo, o que reforça, mais uma vez, a importância da escalabilidade discutida na seção seguinte.</w:t>
      </w:r>
    </w:p>
    <w:p>
      <w:pPr>
        <w:pStyle w:val="Heading1"/>
        <w:spacing w:after="200" w:before="400"/>
      </w:pPr>
      <w:r>
        <w:rPr>
          <w:b/>
          <w:bCs/>
          <w:color w:val="1F3864"/>
          <w:sz w:val="28"/>
          <w:szCs w:val="28"/>
        </w:rPr>
        <w:t xml:space="preserve">3. COMPUTAÇÃO EM NUVEM</w:t>
      </w:r>
    </w:p>
    <w:p>
      <w:pPr>
        <w:spacing w:after="200" w:line="276"/>
        <w:jc w:val="both"/>
      </w:pPr>
      <w:r>
        <w:rPr>
          <w:sz w:val="22"/>
          <w:szCs w:val="22"/>
        </w:rPr>
        <w:t xml:space="preserve">Segundo a definição de referência do National Institute of Standards and Technology (NIST, SP 800-145), a computação em nuvem é um modelo que possibilita acesso de rede oniprescente, conveniente e sob demanda a um conjunto compartilhado de recursos computacionais configuráveis (redes, servidores, armazenamento, aplicações e serviços), que podem ser rapidamente provisionados e liberados com esforço mínimo de gerenciamento ou interação com o provedor de serviço.</w:t>
      </w:r>
    </w:p>
    <w:p>
      <w:pPr>
        <w:spacing w:after="200" w:line="276"/>
        <w:jc w:val="both"/>
      </w:pPr>
      <w:r>
        <w:rPr>
          <w:sz w:val="22"/>
          <w:szCs w:val="22"/>
        </w:rPr>
        <w:t xml:space="preserve">De forma mais direta, pode-se dizer que a computação em nuvem representa a transformação de um produto de Tecnologia da Informação em um serviço: em vez de adquirir equipamentos, a organização passa a contratar capacidade computacional sob demanda, mudando fundamentalmente a forma de operar a TI — de um modelo baseado em aquisição de equipamentos para um modelo baseado em aquisição de serviços de TI (SOUZA NETO, 2016). Essa lógica não é inédita: é a mesma transformação pela qual já passaram outros produtos, como o fornecimento de água e de energia elétrica — que deixaram de exigir poço ou usina própria e passaram a ser contratados como serviço, cobrados pelo consumo — ou, mais recentemente, o consumo de vídeo e de jogos, migrado da posse de mídias físicas para serviços de streaming sob demanda, como Netflix e plataformas de jogos em nuvem.</w:t>
      </w:r>
    </w:p>
    <w:p>
      <w:pPr>
        <w:pStyle w:val="Heading2"/>
        <w:spacing w:after="120" w:before="260"/>
      </w:pPr>
      <w:r>
        <w:rPr>
          <w:b/>
          <w:bCs/>
          <w:i/>
          <w:iCs/>
          <w:color w:val="2E74B5"/>
          <w:sz w:val="24"/>
          <w:szCs w:val="24"/>
        </w:rPr>
        <w:t xml:space="preserve">3.1 Características essenciais</w:t>
      </w:r>
    </w:p>
    <w:p>
      <w:pPr>
        <w:pStyle w:val="ListParagraph"/>
        <w:numPr>
          <w:ilvl w:val="0"/>
          <w:numId w:val="1"/>
        </w:numPr>
        <w:spacing w:after="100"/>
        <w:jc w:val="both"/>
      </w:pPr>
      <w:r>
        <w:rPr>
          <w:sz w:val="22"/>
          <w:szCs w:val="22"/>
        </w:rPr>
        <w:t xml:space="preserve">Autoatendimento sob demanda: o consumidor provisiona recursos computacionais automaticamente, conforme necessário, sem exigir interação humana com cada provedor de serviço.</w:t>
      </w:r>
    </w:p>
    <w:p>
      <w:pPr>
        <w:pStyle w:val="ListParagraph"/>
        <w:numPr>
          <w:ilvl w:val="0"/>
          <w:numId w:val="1"/>
        </w:numPr>
        <w:spacing w:after="100"/>
        <w:jc w:val="both"/>
      </w:pPr>
      <w:r>
        <w:rPr>
          <w:sz w:val="22"/>
          <w:szCs w:val="22"/>
        </w:rPr>
        <w:t xml:space="preserve">Amplo acesso via rede: os recursos estão disponíveis pela rede e são acessados por mecanismos padronizados a partir de plataformas heterogêneas (notebooks, smartphones, tablets).</w:t>
      </w:r>
    </w:p>
    <w:p>
      <w:pPr>
        <w:pStyle w:val="ListParagraph"/>
        <w:numPr>
          <w:ilvl w:val="0"/>
          <w:numId w:val="1"/>
        </w:numPr>
        <w:spacing w:after="100"/>
        <w:jc w:val="both"/>
      </w:pPr>
      <w:r>
        <w:rPr>
          <w:sz w:val="22"/>
          <w:szCs w:val="22"/>
        </w:rPr>
        <w:t xml:space="preserve">Pool de recursos (resource pooling): os recursos computacionais do provedor são agrupados para atender a múltiplos consumidores em um modelo multi-tenant, com recursos físicos e virtuais atribuídos e realocados dinamicamente.</w:t>
      </w:r>
    </w:p>
    <w:p>
      <w:pPr>
        <w:pStyle w:val="ListParagraph"/>
        <w:numPr>
          <w:ilvl w:val="0"/>
          <w:numId w:val="1"/>
        </w:numPr>
        <w:spacing w:after="100"/>
        <w:jc w:val="both"/>
      </w:pPr>
      <w:r>
        <w:rPr>
          <w:sz w:val="22"/>
          <w:szCs w:val="22"/>
        </w:rPr>
        <w:t xml:space="preserve">Elasticidade rápida: recursos podem ser provisionados e liberados elasticamente, em alguns casos de forma automática, para escalar rapidamente conforme a demanda.</w:t>
      </w:r>
    </w:p>
    <w:p>
      <w:pPr>
        <w:pStyle w:val="ListParagraph"/>
        <w:numPr>
          <w:ilvl w:val="0"/>
          <w:numId w:val="1"/>
        </w:numPr>
        <w:spacing w:after="100"/>
        <w:jc w:val="both"/>
      </w:pPr>
      <w:r>
        <w:rPr>
          <w:sz w:val="22"/>
          <w:szCs w:val="22"/>
        </w:rPr>
        <w:t xml:space="preserve">Serviço mensurado: sistemas de nuvem controlam e otimizam o uso de recursos automaticamente, com métricas apropriadas ao tipo de serviço (armazenamento, processamento, largura de banda, contas de usuário ativas), possibilitando cobrança por consumo (pay-as-you-go).</w:t>
      </w:r>
    </w:p>
    <w:p>
      <w:pPr>
        <w:spacing w:after="200" w:line="276"/>
        <w:jc w:val="both"/>
      </w:pPr>
      <w:r>
        <w:rPr>
          <w:sz w:val="22"/>
          <w:szCs w:val="22"/>
        </w:rPr>
        <w:t xml:space="preserve">Vale destacar a distinção, comum em avaliações e certificações da área, entre elasticidade e escalabilidade: a elasticidade refere-se à capacidade da infraestrutura de crescer ou diminuir, enquanto a escalabilidade é a capacidade de a própria aplicação reconhecer e aproveitar esse recurso adicional. É possível, portanto, tornar um ambiente elástico (acrescentar hardware) sem que a aplicação seja escalável (capaz de utilizar esse hardware extra), o que reforça que ambas as capacidades precisam ser projetadas em conjunto. A elasticidade pode ocorrer de duas formas: horizontal, em que um novo servidor é provisionado ao lado do já existente — passando a ser tarifado a partir do momento em que é provisionado, independentemente de chegar a ser efetivamente utilizado —, e vertical, em que a capacidade do mesmo servidor é ampliada em tempo real (por exemplo, de 64 GB para 128 GB de memória), também gerando tarifação adicional a partir do upgrade, mesmo que a capacidade extra não seja plenamente utilizada. É possível, ainda, combinar as duas abordagens em um modelo híbrido. A elasticidade vertical tende a ser mais simples de aproveitar, pois a aplicação continua no mesmo ambiente; já a elasticidade horizontal exige que a aplicação seja capaz de se distribuir entre múltiplas máquinas — o que é natural em aplicações web, geralmente acessadas por nomes e URLs, mas nem sempre possível em sistemas legados mais tradicionais, que podem não obter nenhuma vantagem real ao serem apenas transportados para a nuvem sem adaptação.</w:t>
      </w:r>
    </w:p>
    <w:p>
      <w:pPr>
        <w:spacing w:after="200" w:line="276"/>
        <w:jc w:val="both"/>
      </w:pPr>
      <w:r>
        <w:rPr>
          <w:sz w:val="22"/>
          <w:szCs w:val="22"/>
        </w:rPr>
        <w:t xml:space="preserve">É comum também associar a computação em nuvem a características adicionais, como segurança, disponibilidade e resiliência. Essas características são relevantes e amplamente discutidas na literatura, mas não integram o conjunto de cinco características essenciais definidas pelo NIST — sendo antes decorrências ou requisitos transversais que devem ser observados na adoção de qualquer um dos modelos de nuvem.</w:t>
      </w:r>
    </w:p>
    <w:p>
      <w:pPr>
        <w:pStyle w:val="Heading2"/>
        <w:spacing w:after="120" w:before="260"/>
      </w:pPr>
      <w:r>
        <w:rPr>
          <w:b/>
          <w:bCs/>
          <w:i/>
          <w:iCs/>
          <w:color w:val="2E74B5"/>
          <w:sz w:val="24"/>
          <w:szCs w:val="24"/>
        </w:rPr>
        <w:t xml:space="preserve">3.2 Modelos de implantação</w:t>
      </w:r>
    </w:p>
    <w:p>
      <w:pPr>
        <w:spacing w:after="200" w:line="276"/>
        <w:jc w:val="both"/>
      </w:pPr>
      <w:r>
        <w:rPr>
          <w:sz w:val="22"/>
          <w:szCs w:val="22"/>
        </w:rPr>
        <w:t xml:space="preserve">Quanto à implantação, o NIST define quatro modelos, detalhados a seguir.</w:t>
      </w:r>
    </w:p>
    <w:p>
      <w:pPr>
        <w:pStyle w:val="ListParagraph"/>
        <w:numPr>
          <w:ilvl w:val="0"/>
          <w:numId w:val="1"/>
        </w:numPr>
        <w:spacing w:after="100"/>
        <w:jc w:val="both"/>
      </w:pPr>
      <w:r>
        <w:rPr>
          <w:sz w:val="22"/>
          <w:szCs w:val="22"/>
        </w:rPr>
        <w:t xml:space="preserve">Nuvem privada: infraestrutura operada e, na maior parte dos casos, gerenciada pela própria organização cliente, para uso interno — não fica publicamente disponível para uso geral. Pode ser gerenciada por terceiros e implantada fisicamente no data center local da empresa ou hospedada por um provedor de TI terceirizado, mas o hardware e o software permanecem de uso exclusivo do cliente. Costuma fazer sentido em organizações de grande porte com forte dependência de tecnologia (bancos, grandes varejistas, empresas de comércio eletrônico), nas quais um time interno de infraestrutura passa a atender aos times de desenvolvimento por meio de um portal de autoatendimento automatizado — reproduzindo, dentro de um escopo restrito à própria organização, as mesmas características essenciais da nuvem pública —, e também em organizações sujeitas a restrições regulatórias de confidencialidade e sigilo de informação que limitam o uso de nuvem pública.</w:t>
      </w:r>
    </w:p>
    <w:p>
      <w:pPr>
        <w:pStyle w:val="ListParagraph"/>
        <w:numPr>
          <w:ilvl w:val="0"/>
          <w:numId w:val="1"/>
        </w:numPr>
        <w:spacing w:after="100"/>
        <w:jc w:val="both"/>
      </w:pPr>
      <w:r>
        <w:rPr>
          <w:sz w:val="22"/>
          <w:szCs w:val="22"/>
        </w:rPr>
        <w:t xml:space="preserve">Nuvem pública: disponibilizada publicamente por um provedor terceirizado, em geral no modelo pague-por-uso, sem que detalhes técnicos da infraestrutura subjacente sejam repassados ao cliente. É a forma mais simples de iniciar a adoção de computação em nuvem em uma organização, com serviços entregues pela internet. Além dos grandes provedores generalistas (Google Cloud Platform, Microsoft Azure, Amazon Web Services), existem provedores públicos menores ou mais especializados, que oferecem um catálogo mais restrito de serviços ou atendem a nichos específicos de clientes.</w:t>
      </w:r>
    </w:p>
    <w:p>
      <w:pPr>
        <w:pStyle w:val="ListParagraph"/>
        <w:numPr>
          <w:ilvl w:val="0"/>
          <w:numId w:val="1"/>
        </w:numPr>
        <w:spacing w:after="100"/>
        <w:jc w:val="both"/>
      </w:pPr>
      <w:r>
        <w:rPr>
          <w:sz w:val="22"/>
          <w:szCs w:val="22"/>
        </w:rPr>
        <w:t xml:space="preserve">Nuvem comunitária: infraestrutura gerenciada pelas próprias organizações participantes ou por terceiros, compartilhada por um público específico com interesses ou requisitos em comum — por exemplo, um conjunto de universidades ou hospitais que mantêm juntos uma infraestrutura compartilhada. É o modelo menos comum na prática, mas se diferencia tanto da nuvem privada (uma organização atendendo a si mesma) quanto da pública (uma empresa atendendo ao público em geral).</w:t>
      </w:r>
    </w:p>
    <w:p>
      <w:pPr>
        <w:pStyle w:val="ListParagraph"/>
        <w:numPr>
          <w:ilvl w:val="0"/>
          <w:numId w:val="1"/>
        </w:numPr>
        <w:spacing w:after="100"/>
        <w:jc w:val="both"/>
      </w:pPr>
      <w:r>
        <w:rPr>
          <w:sz w:val="22"/>
          <w:szCs w:val="22"/>
        </w:rPr>
        <w:t xml:space="preserve">Nuvem híbrida: composição de duas ou mais infraestruturas de nuvem distintas — privada, pública ou comunitária — que permanecem entidades próprias, mas são interligadas por tecnologia proprietária ou padronizada que propicia a portabilidade de dados e aplicações. Tem sido cada vez mais adotada, sobretudo por organizações que desejam manter dados críticos e confidenciais em ambiente privado, mantendo ao mesmo tempo a flexibilidade e a gama mais ampla de serviços oferecida pela nuvem pública para as demais cargas de trabalho.</w:t>
      </w:r>
    </w:p>
    <w:p>
      <w:pPr>
        <w:spacing w:after="200" w:line="276"/>
        <w:jc w:val="both"/>
      </w:pPr>
      <w:r>
        <w:rPr>
          <w:sz w:val="22"/>
          <w:szCs w:val="22"/>
        </w:rPr>
        <w:t xml:space="preserve">Definir o modelo de implantação mais adequado depende do perfil de cada organização: empresas mais tradicionais, sujeitas a forte regulação e com dados sigilosos, tendem a pender para a nuvem privada ou híbrida; organizações menos regradas, como startups, tendem a se beneficiar mais diretamente da simplicidade e da flexibilidade da nuvem pública.</w:t>
      </w:r>
    </w:p>
    <w:p>
      <w:pPr>
        <w:pStyle w:val="Heading2"/>
        <w:spacing w:after="120" w:before="260"/>
      </w:pPr>
      <w:r>
        <w:rPr>
          <w:b/>
          <w:bCs/>
          <w:i/>
          <w:iCs/>
          <w:color w:val="2E74B5"/>
          <w:sz w:val="24"/>
          <w:szCs w:val="24"/>
        </w:rPr>
        <w:t xml:space="preserve">3.3 Modelos de serviço: IaaS, PaaS e SaaS</w:t>
      </w:r>
    </w:p>
    <w:p>
      <w:pPr>
        <w:spacing w:after="200" w:line="276"/>
        <w:jc w:val="both"/>
      </w:pPr>
      <w:r>
        <w:rPr>
          <w:sz w:val="22"/>
          <w:szCs w:val="22"/>
        </w:rPr>
        <w:t xml:space="preserve">Os modelos de serviço diferenciam-se, essencialmente, pelo nível de abstração oferecido ao cliente e pela divisão de responsabilidades entre provedor e consumidor. Na Infraestrutura como Serviço (IaaS) — por vezes descrita como "virtualização pura" —, o provedor oferta uma infraestrutura de processamento e armazenamento na qual o cliente não tem controle sobre o hardware físico, mas pode controlar mecanismos de virtualização, sistemas operacionais, armazenamento, aplicações instaladas e parte dos recursos de rede, com ajuste rápido do consumo conforme a demanda (exemplo: Google Compute Engine). Na Plataforma como Serviço (PaaS), o provedor entrega um ambiente já pronto — computação, armazenamento, implantação e rede —, suportando todo o ciclo de vida de uma aplicação web (desenvolvimento, compilação, teste, implantação, gerenciamento e atualização), o que poupa o esforço de configurar manualmente cada componente de infraestrutura, ainda que a um custo adicional em relação ao IaaS (exemplos: Google App Engine, Azure App Service). Já no Software como Serviço (SaaS), o cliente não tem qualquer gestão sobre a infraestrutura subjacente: recebe uma aplicação pronta, geralmente acessada via navegador, cuja rede, sistemas operacionais, servidores e armazenamento são inteiramente administrados pelo provedor — a principal métrica de interesse do cliente passa a ser a disponibilidade do serviço (exemplos: Google Apps, Microsoft 365). O quadro a seguir sintetiza essa divisão de responsabilidades.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500"/>
        <w:gridCol w:w="2600"/>
      </w:tblGrid>
      <w:tr>
        <w:trPr>
          <w:tblHeader/>
        </w:trPr>
        <w:tc>
          <w:tcPr>
            <w:tcW w:type="dxa" w:w="1750"/>
            <w:shd w:fill="1F3864" w:val="clear"/>
            <w:tcMar>
              <w:top w:type="dxa" w:w="100"/>
              <w:left w:type="dxa" w:w="120"/>
              <w:bottom w:type="dxa" w:w="100"/>
              <w:right w:type="dxa" w:w="120"/>
            </w:tcMar>
            <w:vAlign w:val="center"/>
          </w:tcPr>
          <w:p>
            <w:pPr>
              <w:jc w:val="left"/>
            </w:pPr>
            <w:r>
              <w:rPr>
                <w:b/>
                <w:bCs/>
                <w:color w:val="FFFFFF"/>
                <w:sz w:val="19"/>
                <w:szCs w:val="19"/>
              </w:rPr>
              <w:t xml:space="preserve">Modelo</w:t>
            </w:r>
          </w:p>
        </w:tc>
        <w:tc>
          <w:tcPr>
            <w:tcW w:type="dxa" w:w="2500"/>
            <w:shd w:fill="1F3864" w:val="clear"/>
            <w:tcMar>
              <w:top w:type="dxa" w:w="100"/>
              <w:left w:type="dxa" w:w="120"/>
              <w:bottom w:type="dxa" w:w="100"/>
              <w:right w:type="dxa" w:w="120"/>
            </w:tcMar>
            <w:vAlign w:val="center"/>
          </w:tcPr>
          <w:p>
            <w:pPr>
              <w:jc w:val="left"/>
            </w:pPr>
            <w:r>
              <w:rPr>
                <w:b/>
                <w:bCs/>
                <w:color w:val="FFFFFF"/>
                <w:sz w:val="19"/>
                <w:szCs w:val="19"/>
              </w:rPr>
              <w:t xml:space="preserve">O que o provedor gerencia</w:t>
            </w:r>
          </w:p>
        </w:tc>
        <w:tc>
          <w:tcPr>
            <w:tcW w:type="dxa" w:w="2500"/>
            <w:shd w:fill="1F3864" w:val="clear"/>
            <w:tcMar>
              <w:top w:type="dxa" w:w="100"/>
              <w:left w:type="dxa" w:w="120"/>
              <w:bottom w:type="dxa" w:w="100"/>
              <w:right w:type="dxa" w:w="120"/>
            </w:tcMar>
            <w:vAlign w:val="center"/>
          </w:tcPr>
          <w:p>
            <w:pPr>
              <w:jc w:val="left"/>
            </w:pPr>
            <w:r>
              <w:rPr>
                <w:b/>
                <w:bCs/>
                <w:color w:val="FFFFFF"/>
                <w:sz w:val="19"/>
                <w:szCs w:val="19"/>
              </w:rPr>
              <w:t xml:space="preserve">O que o cliente gerencia</w:t>
            </w:r>
          </w:p>
        </w:tc>
        <w:tc>
          <w:tcPr>
            <w:tcW w:type="dxa" w:w="2600"/>
            <w:shd w:fill="1F3864" w:val="clear"/>
            <w:tcMar>
              <w:top w:type="dxa" w:w="100"/>
              <w:left w:type="dxa" w:w="120"/>
              <w:bottom w:type="dxa" w:w="100"/>
              <w:right w:type="dxa" w:w="120"/>
            </w:tcMar>
            <w:vAlign w:val="center"/>
          </w:tcPr>
          <w:p>
            <w:pPr>
              <w:jc w:val="left"/>
            </w:pPr>
            <w:r>
              <w:rPr>
                <w:b/>
                <w:bCs/>
                <w:color w:val="FFFFFF"/>
                <w:sz w:val="19"/>
                <w:szCs w:val="19"/>
              </w:rPr>
              <w:t xml:space="preserve">Exemplos</w:t>
            </w:r>
          </w:p>
        </w:tc>
      </w:tr>
      <w:tr>
        <w:tc>
          <w:tcPr>
            <w:tcW w:type="dxa" w:w="1750"/>
            <w:tcMar>
              <w:top w:type="dxa" w:w="100"/>
              <w:left w:type="dxa" w:w="120"/>
              <w:bottom w:type="dxa" w:w="100"/>
              <w:right w:type="dxa" w:w="120"/>
            </w:tcMar>
            <w:vAlign w:val="center"/>
          </w:tcPr>
          <w:p>
            <w:pPr>
              <w:jc w:val="left"/>
            </w:pPr>
            <w:r>
              <w:rPr>
                <w:b w:val="false"/>
                <w:bCs w:val="false"/>
                <w:color w:val="000000"/>
                <w:sz w:val="19"/>
                <w:szCs w:val="19"/>
              </w:rPr>
              <w:t xml:space="preserve">IaaS</w:t>
            </w:r>
          </w:p>
          <w:p>
            <w:pPr>
              <w:jc w:val="left"/>
            </w:pPr>
            <w:r>
              <w:rPr>
                <w:b w:val="false"/>
                <w:bCs w:val="false"/>
                <w:color w:val="000000"/>
                <w:sz w:val="19"/>
                <w:szCs w:val="19"/>
              </w:rPr>
              <w:t xml:space="preserve">(Infrastructure as a Service)</w:t>
            </w:r>
          </w:p>
        </w:tc>
        <w:tc>
          <w:tcPr>
            <w:tcW w:type="dxa" w:w="2500"/>
            <w:tcMar>
              <w:top w:type="dxa" w:w="100"/>
              <w:left w:type="dxa" w:w="120"/>
              <w:bottom w:type="dxa" w:w="100"/>
              <w:right w:type="dxa" w:w="120"/>
            </w:tcMar>
            <w:vAlign w:val="center"/>
          </w:tcPr>
          <w:p>
            <w:pPr>
              <w:jc w:val="left"/>
            </w:pPr>
            <w:r>
              <w:rPr>
                <w:b w:val="false"/>
                <w:bCs w:val="false"/>
                <w:color w:val="000000"/>
                <w:sz w:val="19"/>
                <w:szCs w:val="19"/>
              </w:rPr>
              <w:t xml:space="preserve">Servidores físicos, virtualização, armazenamento, rede</w:t>
            </w:r>
          </w:p>
        </w:tc>
        <w:tc>
          <w:tcPr>
            <w:tcW w:type="dxa" w:w="2500"/>
            <w:tcMar>
              <w:top w:type="dxa" w:w="100"/>
              <w:left w:type="dxa" w:w="120"/>
              <w:bottom w:type="dxa" w:w="100"/>
              <w:right w:type="dxa" w:w="120"/>
            </w:tcMar>
            <w:vAlign w:val="center"/>
          </w:tcPr>
          <w:p>
            <w:pPr>
              <w:jc w:val="left"/>
            </w:pPr>
            <w:r>
              <w:rPr>
                <w:b w:val="false"/>
                <w:bCs w:val="false"/>
                <w:color w:val="000000"/>
                <w:sz w:val="19"/>
                <w:szCs w:val="19"/>
              </w:rPr>
              <w:t xml:space="preserve">Sistema operacional, middleware, runtime, aplicações e dados</w:t>
            </w:r>
          </w:p>
        </w:tc>
        <w:tc>
          <w:tcPr>
            <w:tcW w:type="dxa" w:w="2600"/>
            <w:tcMar>
              <w:top w:type="dxa" w:w="100"/>
              <w:left w:type="dxa" w:w="120"/>
              <w:bottom w:type="dxa" w:w="100"/>
              <w:right w:type="dxa" w:w="120"/>
            </w:tcMar>
            <w:vAlign w:val="center"/>
          </w:tcPr>
          <w:p>
            <w:pPr>
              <w:jc w:val="left"/>
            </w:pPr>
            <w:r>
              <w:rPr>
                <w:b w:val="false"/>
                <w:bCs w:val="false"/>
                <w:color w:val="000000"/>
                <w:sz w:val="19"/>
                <w:szCs w:val="19"/>
              </w:rPr>
              <w:t xml:space="preserve">Amazon EC2, Google Compute Engine, Microsoft Azure VMs</w:t>
            </w:r>
          </w:p>
        </w:tc>
      </w:tr>
      <w:tr>
        <w:tc>
          <w:tcPr>
            <w:tcW w:type="dxa" w:w="17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PaaS</w:t>
            </w:r>
          </w:p>
          <w:p>
            <w:pPr>
              <w:jc w:val="left"/>
            </w:pPr>
            <w:r>
              <w:rPr>
                <w:b w:val="false"/>
                <w:bCs w:val="false"/>
                <w:color w:val="000000"/>
                <w:sz w:val="19"/>
                <w:szCs w:val="19"/>
              </w:rPr>
              <w:t xml:space="preserve">(Platform as a Service)</w:t>
            </w:r>
          </w:p>
        </w:tc>
        <w:tc>
          <w:tcPr>
            <w:tcW w:type="dxa" w:w="25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Infraestrutura, sistema operacional, middleware, runtime</w:t>
            </w:r>
          </w:p>
        </w:tc>
        <w:tc>
          <w:tcPr>
            <w:tcW w:type="dxa" w:w="25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Aplicações e dados</w:t>
            </w:r>
          </w:p>
        </w:tc>
        <w:tc>
          <w:tcPr>
            <w:tcW w:type="dxa" w:w="26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Google App Engine, Azure App Service, Heroku</w:t>
            </w:r>
          </w:p>
        </w:tc>
      </w:tr>
      <w:tr>
        <w:tc>
          <w:tcPr>
            <w:tcW w:type="dxa" w:w="1750"/>
            <w:tcMar>
              <w:top w:type="dxa" w:w="100"/>
              <w:left w:type="dxa" w:w="120"/>
              <w:bottom w:type="dxa" w:w="100"/>
              <w:right w:type="dxa" w:w="120"/>
            </w:tcMar>
            <w:vAlign w:val="center"/>
          </w:tcPr>
          <w:p>
            <w:pPr>
              <w:jc w:val="left"/>
            </w:pPr>
            <w:r>
              <w:rPr>
                <w:b w:val="false"/>
                <w:bCs w:val="false"/>
                <w:color w:val="000000"/>
                <w:sz w:val="19"/>
                <w:szCs w:val="19"/>
              </w:rPr>
              <w:t xml:space="preserve">SaaS</w:t>
            </w:r>
          </w:p>
          <w:p>
            <w:pPr>
              <w:jc w:val="left"/>
            </w:pPr>
            <w:r>
              <w:rPr>
                <w:b w:val="false"/>
                <w:bCs w:val="false"/>
                <w:color w:val="000000"/>
                <w:sz w:val="19"/>
                <w:szCs w:val="19"/>
              </w:rPr>
              <w:t xml:space="preserve">(Software as a Service)</w:t>
            </w:r>
          </w:p>
        </w:tc>
        <w:tc>
          <w:tcPr>
            <w:tcW w:type="dxa" w:w="2500"/>
            <w:tcMar>
              <w:top w:type="dxa" w:w="100"/>
              <w:left w:type="dxa" w:w="120"/>
              <w:bottom w:type="dxa" w:w="100"/>
              <w:right w:type="dxa" w:w="120"/>
            </w:tcMar>
            <w:vAlign w:val="center"/>
          </w:tcPr>
          <w:p>
            <w:pPr>
              <w:jc w:val="left"/>
            </w:pPr>
            <w:r>
              <w:rPr>
                <w:b w:val="false"/>
                <w:bCs w:val="false"/>
                <w:color w:val="000000"/>
                <w:sz w:val="19"/>
                <w:szCs w:val="19"/>
              </w:rPr>
              <w:t xml:space="preserve">Toda a pilha, incluindo a própria aplicação</w:t>
            </w:r>
          </w:p>
        </w:tc>
        <w:tc>
          <w:tcPr>
            <w:tcW w:type="dxa" w:w="2500"/>
            <w:tcMar>
              <w:top w:type="dxa" w:w="100"/>
              <w:left w:type="dxa" w:w="120"/>
              <w:bottom w:type="dxa" w:w="100"/>
              <w:right w:type="dxa" w:w="120"/>
            </w:tcMar>
            <w:vAlign w:val="center"/>
          </w:tcPr>
          <w:p>
            <w:pPr>
              <w:jc w:val="left"/>
            </w:pPr>
            <w:r>
              <w:rPr>
                <w:b w:val="false"/>
                <w:bCs w:val="false"/>
                <w:color w:val="000000"/>
                <w:sz w:val="19"/>
                <w:szCs w:val="19"/>
              </w:rPr>
              <w:t xml:space="preserve">Apenas dados e configurações de uso</w:t>
            </w:r>
          </w:p>
        </w:tc>
        <w:tc>
          <w:tcPr>
            <w:tcW w:type="dxa" w:w="2600"/>
            <w:tcMar>
              <w:top w:type="dxa" w:w="100"/>
              <w:left w:type="dxa" w:w="120"/>
              <w:bottom w:type="dxa" w:w="100"/>
              <w:right w:type="dxa" w:w="120"/>
            </w:tcMar>
            <w:vAlign w:val="center"/>
          </w:tcPr>
          <w:p>
            <w:pPr>
              <w:jc w:val="left"/>
            </w:pPr>
            <w:r>
              <w:rPr>
                <w:b w:val="false"/>
                <w:bCs w:val="false"/>
                <w:color w:val="000000"/>
                <w:sz w:val="19"/>
                <w:szCs w:val="19"/>
              </w:rPr>
              <w:t xml:space="preserve">Google Workspace, Microsoft 365, Salesforce</w:t>
            </w:r>
          </w:p>
        </w:tc>
      </w:tr>
    </w:tbl>
    <w:p>
      <w:pPr>
        <w:spacing w:after="200"/>
      </w:pPr>
    </w:p>
    <w:p>
      <w:pPr>
        <w:spacing w:after="200" w:line="276"/>
        <w:jc w:val="both"/>
      </w:pPr>
      <w:r>
        <w:rPr>
          <w:sz w:val="22"/>
          <w:szCs w:val="22"/>
        </w:rPr>
        <w:t xml:space="preserve">Essa divisão de responsabilidades — por vezes chamada de "pilha da computação em nuvem", com camadas de aplicações, dados, ambiente de execução, middleware, sistema operacional, virtualização, servidores, armazenamento e rede — é conhecida como modelo de responsabilidade compartilhada (shared responsibility model): quanto mais abstrato o serviço (do IaaS em direção ao SaaS), menor o esforço operacional exigido do cliente, mas também menor o seu controle sobre a pilha tecnológica subjacente — um equilíbrio central na decisão de qual modelo adotar para cada carga de trabalho. Um cuidado prático relevante, sobretudo em IaaS, é que a tarifação por uso, na prática, tende a se confundir com a tarifação por disponibilização: uma máquina virtual provisionada e esquecida ligada é cobrada integralmente pelo tempo em que ficou disponível, ainda que tenha sido efetivamente utilizada por poucas horas — reforçando a importância de desligar ou desativar recursos ociosos para evitar cobranças indevidas.</w:t>
      </w:r>
    </w:p>
    <w:p>
      <w:pPr>
        <w:pStyle w:val="Heading2"/>
        <w:spacing w:after="120" w:before="260"/>
      </w:pPr>
      <w:r>
        <w:rPr>
          <w:b/>
          <w:bCs/>
          <w:i/>
          <w:iCs/>
          <w:color w:val="2E74B5"/>
          <w:sz w:val="24"/>
          <w:szCs w:val="24"/>
        </w:rPr>
        <w:t xml:space="preserve">3.4 Regiões, data centers e zonas de disponibilidade</w:t>
      </w:r>
    </w:p>
    <w:p>
      <w:pPr>
        <w:spacing w:after="200" w:line="276"/>
        <w:jc w:val="both"/>
      </w:pPr>
      <w:r>
        <w:rPr>
          <w:sz w:val="22"/>
          <w:szCs w:val="22"/>
        </w:rPr>
        <w:t xml:space="preserve">O processamento na nuvem ocorre de forma distribuída, em milhares de servidores organizados hierarquicamente pelos provedores em regiões (áreas geográficas amplas e isoladas entre si, cada uma composta por um ou mais data centers) e zonas de disponibilidade (um ou mais data centers fisicamente isolados dentro de uma mesma região, com energia, refrigeração e conectividade independentes entre si). Na prática, o cliente raramente precisa saber em qual servidor específico seus dados estão armazenados — sabe apenas que estão disponíveis na nuvem, em uma determinada região —, o que ilustra o próprio sentido do termo "nuvem": o recurso físico exato fica abstraído do usuário.</w:t>
      </w:r>
    </w:p>
    <w:p>
      <w:pPr>
        <w:spacing w:after="200" w:line="276"/>
        <w:jc w:val="both"/>
      </w:pPr>
      <w:r>
        <w:rPr>
          <w:sz w:val="22"/>
          <w:szCs w:val="22"/>
        </w:rPr>
        <w:t xml:space="preserve">Essa arquitetura em zonas de disponibilidade existe para garantir redundância e alta disponibilidade: se um data center de uma zona falhar, as demais zonas da mesma região assumem a carga de trabalho, tipicamente sem impacto perceptível para o usuário final. É possível, inclusive, configurar uma aplicação para ser replicada em múltiplas regiões, aumentando ainda mais a tolerância a falhas, ao custo de maior complexidade e despesa. Essa escolha de região também tem impacto direto em custo e em desempenho: a concentração histórica de data centers em regiões como a América do Norte tende a tornar o acesso a partir dessas regiões mais barato e latente do que o acesso a partir de regiões com infraestrutura mais escassa, como a América do Sul — um fator que deve ser ponderado no momento de definir onde hospedar uma aplicação.</w:t>
      </w:r>
    </w:p>
    <w:p>
      <w:pPr>
        <w:pStyle w:val="Heading2"/>
        <w:spacing w:after="120" w:before="260"/>
      </w:pPr>
      <w:r>
        <w:rPr>
          <w:b/>
          <w:bCs/>
          <w:i/>
          <w:iCs/>
          <w:color w:val="2E74B5"/>
          <w:sz w:val="24"/>
          <w:szCs w:val="24"/>
        </w:rPr>
        <w:t xml:space="preserve">3.5 Outros papéis e modelos de mercado</w:t>
      </w:r>
    </w:p>
    <w:p>
      <w:pPr>
        <w:spacing w:after="200" w:line="276"/>
        <w:jc w:val="both"/>
      </w:pPr>
      <w:r>
        <w:rPr>
          <w:sz w:val="22"/>
          <w:szCs w:val="22"/>
        </w:rPr>
        <w:t xml:space="preserve">Além dos modelos formalmente previstos pelo NIST, o mercado de computação em nuvem consolidou outros papéis e modalidades de serviço — nem sempre unanimemente classificados pela literatura como "modelos de nuvem" propriamente ditos, mas relevantes para compreender o ecossistema. O colocation (ou housing) consiste em uma empresa alugar um espaço monitorado (com segurança, contingência de energia e climatização) dentro do data center de terceiros, para onde leva seus próprios equipamentos — diferindo da nuvem por não envolver, necessariamente, virtualização ou os serviços gerenciados típicos de um provedor. O cloud broker é uma empresa especializada que atua como intermediária entre organizações clientes e grandes provedores de nuvem, negociando e selecionando as ofertas mais adequadas a cada cliente — papel especialmente relevante quando o provedor não possui operação comercial direta em determinado país ou mercado (exemplos citados em aula: Equinix, Tivit, UOLDiveo). Por fim, o outsourcing de TI refere-se à terceirização da gestão de determinados serviços ou infraestrutura para uma empresa especializada; como reforçado em aula, a computação em nuvem não deve ser tratada como uma terceirização genérica de serviços, já que o controle estratégico do negócio deve permanecer interno à organização, especialmente quando há dados sigilosos e requisitos de continuidade do negócio envolvidos — daí a importância dos Acordos de Nível de Serviço tratados na Seção 5.</w:t>
      </w:r>
    </w:p>
    <w:p>
      <w:pPr>
        <w:pStyle w:val="Heading2"/>
        <w:spacing w:after="120" w:before="260"/>
      </w:pPr>
      <w:r>
        <w:rPr>
          <w:b/>
          <w:bCs/>
          <w:i/>
          <w:iCs/>
          <w:color w:val="2E74B5"/>
          <w:sz w:val="24"/>
          <w:szCs w:val="24"/>
        </w:rPr>
        <w:t xml:space="preserve">3.6 Multi-cloud, inter-cloud e vendor lock-in</w:t>
      </w:r>
    </w:p>
    <w:p>
      <w:pPr>
        <w:spacing w:after="200" w:line="276"/>
        <w:jc w:val="both"/>
      </w:pPr>
      <w:r>
        <w:rPr>
          <w:sz w:val="22"/>
          <w:szCs w:val="22"/>
        </w:rPr>
        <w:t xml:space="preserve">Diferentemente da nuvem híbrida (que combina nuvem privada com nuvem pública ou comunitária), o multi-cloud consiste no uso simultâneo de dois ou mais provedores públicos de nuvem (por exemplo, AWS e Azure ao mesmo tempo), enquanto o inter-cloud pressupõe algum grau de integração entre essas nuvens para compartilhamento de recursos e serviços — alguns autores reúnem ambos sob o termo nuvem federada. O principal objetivo dessas estratégias é evitar o vendor lock-in: a dependência excessiva de um único fornecedor, que tende a reduzir o poder de negociação do cliente e a dificultar uma eventual migração. Ao operar com mais de um provedor, a organização pode comparar custo, desempenho e latência entre eles, e migrar cargas de trabalho — como um contêiner — de um provedor para outro conforme a conveniência, obtendo como benefícios adicionais maior disponibilidade e melhor otimização de custos.</w:t>
      </w:r>
    </w:p>
    <w:p>
      <w:pPr>
        <w:pStyle w:val="Heading2"/>
        <w:spacing w:after="120" w:before="260"/>
      </w:pPr>
      <w:r>
        <w:rPr>
          <w:b/>
          <w:bCs/>
          <w:i/>
          <w:iCs/>
          <w:color w:val="2E74B5"/>
          <w:sz w:val="24"/>
          <w:szCs w:val="24"/>
        </w:rPr>
        <w:t xml:space="preserve">3.7 Interoperabilidade, portabilidade e infraestrutura como código</w:t>
      </w:r>
    </w:p>
    <w:p>
      <w:pPr>
        <w:spacing w:after="200" w:line="276"/>
        <w:jc w:val="both"/>
      </w:pPr>
      <w:r>
        <w:rPr>
          <w:sz w:val="22"/>
          <w:szCs w:val="22"/>
        </w:rPr>
        <w:t xml:space="preserve">A viabilidade prática do multi-cloud depende de dois atributos: interoperabilidade, a capacidade de diferentes plataformas trabalharem em conjunto, e portabilidade, a capacidade de mover aplicações entre provedores distintos com poucas adaptações. Entre as boas práticas que favorecem esses atributos estão o uso de contêineres, do Kubernetes, de APIs REST, de padrões abertos (open standards) e de ferramentas de Infraestrutura como Código (Infrastructure as Code — IaC), como o Terraform, que permite descrever a infraestrutura provisionada em um provedor por meio de código e recriá-la rapidamente em outro provedor — reduzindo substancialmente o esforço de migração entre nuvens e sustentando, na prática, as estratégias de multi-cloud e mitigação de vendor lock-in discutidas anteriormente.</w:t>
      </w:r>
    </w:p>
    <w:p>
      <w:pPr>
        <w:pStyle w:val="Heading2"/>
        <w:spacing w:after="120" w:before="260"/>
      </w:pPr>
      <w:r>
        <w:rPr>
          <w:b/>
          <w:bCs/>
          <w:i/>
          <w:iCs/>
          <w:color w:val="2E74B5"/>
          <w:sz w:val="24"/>
          <w:szCs w:val="24"/>
        </w:rPr>
        <w:t xml:space="preserve">3.8 Governança em computação em nuvem</w:t>
      </w:r>
    </w:p>
    <w:p>
      <w:pPr>
        <w:spacing w:after="200" w:line="276"/>
        <w:jc w:val="both"/>
      </w:pPr>
      <w:r>
        <w:rPr>
          <w:sz w:val="22"/>
          <w:szCs w:val="22"/>
        </w:rPr>
        <w:t xml:space="preserve">A adoção de computação em nuvem deve ser respaldada por uma governança que maximize seus benefícios e, ao mesmo tempo, reduza riscos e garanta valor sustentável para o negócio. Entre seus pilares estão: gestão de identidade e acesso (Identity and Access Management — IAM), que administra identidades e acessos aos recursos de nuvem com base no princípio do menor privilégio; compliance, que assegura o atendimento a leis, regulamentos e normas internas e externas aplicáveis; monitoramento e observabilidade, que acompanham continuamente recursos e serviços quanto a desempenho, disponibilidade e anomalias; gestão de riscos, que identifica, avalia e trata riscos associados ao uso da nuvem; automação — muitas vezes viabilizada por Infraestrutura como Código — para aumentar eficiência, reduzir erros e garantir padronização; segurança, que protege dados, aplicações e infraestrutura por meio de controles técnicos, administrativos e preventivos; FinOps, disciplina de gestão de custos que promove visibilidade, controle e otimização dos gastos com nuvem; e políticas, padronização e auditoria, que garantem consistência, conformidade e rastreabilidade no uso da nuvem. Essas decisões de governança dialogam ainda com o planejamento estratégico de TI da organização: o Plano Estratégico de TI (PETI) define os objetivos e projetos estratégicos de tecnologia, enquanto o Plano Diretor de TI (PDTI) desdobra essas estratégias em ações táticas — lembrando que a migração para a nuvem nem sempre representa vantagem puramente econômica, podendo ser motivada, antes, por um direcionamento estratégico do negócio.</w:t>
      </w:r>
    </w:p>
    <w:p>
      <w:pPr>
        <w:pStyle w:val="Heading2"/>
        <w:spacing w:after="120" w:before="260"/>
      </w:pPr>
      <w:r>
        <w:rPr>
          <w:b/>
          <w:bCs/>
          <w:i/>
          <w:iCs/>
          <w:color w:val="2E74B5"/>
          <w:sz w:val="24"/>
          <w:szCs w:val="24"/>
        </w:rPr>
        <w:t xml:space="preserve">3.9 Serviços de computação oferecidos pelos provedores</w:t>
      </w:r>
    </w:p>
    <w:p>
      <w:pPr>
        <w:spacing w:after="200" w:line="276"/>
        <w:jc w:val="both"/>
      </w:pPr>
      <w:r>
        <w:rPr>
          <w:sz w:val="22"/>
          <w:szCs w:val="22"/>
        </w:rPr>
        <w:t xml:space="preserve">Dentro do modelo IaaS, o serviço mais comum oferecido pelos provedores é a máquina virtual — um ambiente computacional virtualizado que executa um sistema operacional completo sobre um hipervisor, com elevado isolamento entre aplicações, sendo indicada para aplicações legadas, sistemas corporativos e cenários que exigem maior compatibilidade. Contêineres, por sua vez, empacotam a aplicação e suas dependências de forma mais leve, compartilhando o kernel do hospedeiro, com inicialização rápida e baixo consumo de recursos — amplamente utilizados em arquiteturas cloud native e de microsserviços, conforme discutido na Seção 4 —, sendo o Kubernetes o principal padrão de orquestração desses contêineres nos provedores de nuvem.</w:t>
      </w:r>
    </w:p>
    <w:p>
      <w:pPr>
        <w:spacing w:after="200" w:line="276"/>
        <w:jc w:val="both"/>
      </w:pPr>
      <w:r>
        <w:rPr>
          <w:sz w:val="22"/>
          <w:szCs w:val="22"/>
        </w:rPr>
        <w:t xml:space="preserve">Um serviço adicional, que não constava da definição original do NIST por ainda não existir em 2010–2011, é o Serverless, também chamado de Função como Serviço (Function as a Service — FaaS) — havendo debate na literatura sobre se constitui um novo modelo de serviço ou uma variação de PaaS. Nesse modelo, o desenvolvedor se preocupa apenas com o código de uma função, sem alocar ou configurar qualquer servidor; a infraestrutura de execução é totalmente gerenciada pelo provedor, que escala automaticamente conforme a demanda e cobra pela quantidade de execuções e pelo tempo de processamento — tipicamente em lotes de milhares de requisições, a um custo unitário muito baixo. Casos de uso comuns incluem o processamento de funções matemáticas complexas (como o AWS Lambda), a extração de texto de documentos (OCR) e o reconhecimento de imagens por inteligência artificial, em que a aplicação apenas envia uma requisição a esse serviço e recebe de volta o resultado processado.</w:t>
      </w:r>
    </w:p>
    <w:p>
      <w:pPr>
        <w:spacing w:after="200" w:line="276"/>
        <w:jc w:val="both"/>
      </w:pPr>
      <w:r>
        <w:rPr>
          <w:sz w:val="22"/>
          <w:szCs w:val="22"/>
        </w:rPr>
        <w:t xml:space="preserve">Outros dois serviços de computação relevantes são a GPU (Graphics Processing Unit) e o HPC (High Performance Computing). A GPU é um processador especializado em computação paralela: enquanto uma CPU tradicional processa instruções de forma predominantemente sequencial, uma GPU executa milhares de operações simultaneamente, como se processasse uma matriz inteira a cada ciclo em vez de um único valor — característica que a tornou essencial para o treinamento de modelos de inteligência artificial e machine learning, processamento de imagens, renderização gráfica e simulações científicas, ainda que a um custo mais elevado do que instâncias equipadas apenas com CPU. Já o HPC reúne diversos servidores trabalhando em paralelo para resolver problemas computacionalmente intensivos — pesquisas científicas, modelagem climática, simulações complexas — em uma fração do tempo que seria necessário em um único computador, permitindo à organização pagar apenas pelo tempo de uso desses recursos de alto desempenho, em vez de adquirir equipamentos dedicados de custo elevado.</w:t>
      </w:r>
    </w:p>
    <w:p>
      <w:pPr>
        <w:pStyle w:val="Heading2"/>
        <w:spacing w:after="120" w:before="260"/>
      </w:pPr>
      <w:r>
        <w:rPr>
          <w:b/>
          <w:bCs/>
          <w:i/>
          <w:iCs/>
          <w:color w:val="2E74B5"/>
          <w:sz w:val="24"/>
          <w:szCs w:val="24"/>
        </w:rPr>
        <w:t xml:space="preserve">3.10 Armazenamento em nuvem</w:t>
      </w:r>
    </w:p>
    <w:p>
      <w:pPr>
        <w:spacing w:after="200" w:line="276"/>
        <w:jc w:val="both"/>
      </w:pPr>
      <w:r>
        <w:rPr>
          <w:sz w:val="22"/>
          <w:szCs w:val="22"/>
        </w:rPr>
        <w:t xml:space="preserve">Os serviços de armazenamento em nuvem atendem a diferentes necessidades de desempenho, compartilhamento e escalabilidade, organizando-se em três modelos principais. O armazenamento em blocos divide os dados em blocos de tamanho fixo que funcionam como discos virtuais conectados a uma máquina virtual, geralmente utilizados por um único servidor por vez; oferece baixa latência e alto desempenho, sendo o modelo mais tradicional e adequado a sistemas operacionais, bancos de dados, aplicações corporativas (ERP) e máquinas virtuais em geral. O armazenamento em arquivos organiza os dados em uma estrutura hierárquica de pastas, semelhante à de sistemas operacionais convencionais, utilizando protocolos como NFS e SMB para permitir que múltiplos usuários ou servidores compartilhem e editem simultaneamente os mesmos arquivos — sendo a base de ferramentas colaborativas como Google Drive, OneDrive e Dropbox, embora costume ser mais caro por exigir maior complexidade de segurança e arquitetura para sustentar esse acesso concorrente.</w:t>
      </w:r>
    </w:p>
    <w:p>
      <w:pPr>
        <w:spacing w:after="200" w:line="276"/>
        <w:jc w:val="both"/>
      </w:pPr>
      <w:r>
        <w:rPr>
          <w:sz w:val="22"/>
          <w:szCs w:val="22"/>
        </w:rPr>
        <w:t xml:space="preserve">Já o armazenamento em objetos abstrai por completo a lógica de pastas e arquivos: cada objeto é armazenado com seus dados, metadados e um identificador único, agrupado em conjuntos chamados buckets (o serviço mais conhecido desse tipo é o Amazon S3). Diferentemente do armazenamento em arquivos, um objeto não pode ser editado diretamente — qualquer alteração exige baixar, modificar localmente e enviar novamente o arquivo, o que, se a versão anterior não for removida, gera cópias duplicadas. O acesso é feito majoritariamente via API HTTP/HTTPS, e não por um explorador de arquivos tradicional. Por seu baixo custo por volume armazenado, é o modelo preferido para grandes quantidades de imagens, vídeos, backups, logs e data lakes; provedores como a AWS costumam anunciar índices de durabilidade extremamente elevados para esse tipo de armazenamento — da ordem de 99,999999999% (os chamados "onze noves") —, o que, na prática, representa uma probabilidade estatisticamente desprezível de perda de qualquer objeto armazenado ao longo de décadas.</w:t>
      </w:r>
    </w:p>
    <w:p>
      <w:pPr>
        <w:pStyle w:val="Heading2"/>
        <w:spacing w:after="120" w:before="260"/>
      </w:pPr>
      <w:r>
        <w:rPr>
          <w:b/>
          <w:bCs/>
          <w:i/>
          <w:iCs/>
          <w:color w:val="2E74B5"/>
          <w:sz w:val="24"/>
          <w:szCs w:val="24"/>
        </w:rPr>
        <w:t xml:space="preserve">3.11 Banco de dados em nuvem (DBaaS)</w:t>
      </w:r>
    </w:p>
    <w:p>
      <w:pPr>
        <w:spacing w:after="200" w:line="276"/>
        <w:jc w:val="both"/>
      </w:pPr>
      <w:r>
        <w:rPr>
          <w:sz w:val="22"/>
          <w:szCs w:val="22"/>
        </w:rPr>
        <w:t xml:space="preserve">Bancos de dados em nuvem são serviços gerenciados que permitem armazenar, organizar e consultar informações sem que o cliente precise administrar a infraestrutura física subjacente: o provedor assume atividades como provisionamento, atualizações, backup, alta disponibilidade, monitoramento e recuperação de falhas, liberando a equipe de desenvolvimento para se concentrar na construção das aplicações. Podem ser classificados em relacionais (SQL) ou não relacionais (NoSQL), e cada provedor costuma oferecer um catálogo próprio de motores de banco de dados disponíveis. É importante notar que, tecnicamente, um banco de dados em nuvem se enquadra como Plataforma como Serviço (PaaS), e não como Infraestrutura como Serviço — já que o cliente não contrata apenas a máquina, mas também a plataforma de banco de dados já instalada e configurada. Termos comerciais como "Database as a Service" (DBaaS) ou "Storage as a Service" são, assim, rótulos de marketing usados pelos provedores para reforçar que o serviço está na nuvem, mas não constituem novas categorias na classificação do NIST: o primeiro se enquadra em PaaS e o segundo em IaaS.</w:t>
      </w:r>
    </w:p>
    <w:p>
      <w:pPr>
        <w:pStyle w:val="Heading2"/>
        <w:spacing w:after="120" w:before="260"/>
      </w:pPr>
      <w:r>
        <w:rPr>
          <w:b/>
          <w:bCs/>
          <w:i/>
          <w:iCs/>
          <w:color w:val="2E74B5"/>
          <w:sz w:val="24"/>
          <w:szCs w:val="24"/>
        </w:rPr>
        <w:t xml:space="preserve">3.12 Redes virtuais e componentes de arquitetura</w:t>
      </w:r>
    </w:p>
    <w:p>
      <w:pPr>
        <w:spacing w:after="200" w:line="276"/>
        <w:jc w:val="both"/>
      </w:pPr>
      <w:r>
        <w:rPr>
          <w:sz w:val="22"/>
          <w:szCs w:val="22"/>
        </w:rPr>
        <w:t xml:space="preserve">Como a computação em nuvem é acessada pela internet, a publicação de qualquer serviço exige uma arquitetura de rede com diversos componentes — todos eles também tarifados individualmente, em linha com a característica essencial de serviço medido. O elemento central costuma ser uma rede virtual privada (Virtual Private Cloud — VPC), que define o espaço de endereçamento IP, sub-redes públicas (acessíveis pela internet) e privadas (acessíveis apenas internamente), e regras de roteamento. Entre os componentes típicos dessa arquitetura estão o Internet Gateway, que permite a comunicação entre os recursos da rede virtual e a internet; o NAT Gateway, que permite que instâncias em sub-redes privadas acessem a internet para atualizações sem permitir conexões de entrada; a Tabela de Rotas, que define as regras de roteamento de tráfego; o VPN Gateway, que estabelece uma conexão segura entre a rede virtual e o ambiente corporativo on-premises; e o Load Balancer, que distribui as requisições recebidas entre múltiplas instâncias de servidor — usando algoritmos como o round robin, que distribui as requisições ciclicamente entre os servidores disponíveis — sendo indispensável sempre que se pratica elasticidade horizontal, já que adicionar novos servidores não tem qualquer efeito prático se as requisições não forem distribuídas entre eles.</w:t>
      </w:r>
    </w:p>
    <w:p>
      <w:pPr>
        <w:spacing w:after="200" w:line="276"/>
        <w:jc w:val="both"/>
      </w:pPr>
      <w:r>
        <w:rPr>
          <w:sz w:val="22"/>
          <w:szCs w:val="22"/>
        </w:rPr>
        <w:t xml:space="preserve">Uma alternativa à VPN para a integração de serviços específicos é a federação de identidade (autenticação federada), na qual apenas a validação de credenciais é delegada ao ambiente on-premises: o provedor de nuvem envia uma solicitação de validação e recebe de volta um token de autorização, sem que a senha ou o login do usuário trafeguem entre os ambientes — preservando o controle da organização sobre suas credenciais mesmo ao consumir serviços de terceiros.</w:t>
      </w:r>
    </w:p>
    <w:p>
      <w:pPr>
        <w:pStyle w:val="Heading2"/>
        <w:spacing w:after="120" w:before="260"/>
      </w:pPr>
      <w:r>
        <w:rPr>
          <w:b/>
          <w:bCs/>
          <w:i/>
          <w:iCs/>
          <w:color w:val="2E74B5"/>
          <w:sz w:val="24"/>
          <w:szCs w:val="24"/>
        </w:rPr>
        <w:t xml:space="preserve">3.13 Segurança de rede: grupos de segurança e boas práticas</w:t>
      </w:r>
    </w:p>
    <w:p>
      <w:pPr>
        <w:spacing w:after="200" w:line="276"/>
        <w:jc w:val="both"/>
      </w:pPr>
      <w:r>
        <w:rPr>
          <w:sz w:val="22"/>
          <w:szCs w:val="22"/>
        </w:rPr>
        <w:t xml:space="preserve">Os grupos de segurança (Security Groups) funcionam como firewalls virtuais que controlam o tráfego de entrada (inbound) e saída (outbound) dos recursos em nuvem, com regras definidas por endereço IP, protocolo e porta, seguindo o princípio do menor privilégio — permitindo apenas o tráfego estritamente necessário ao funcionamento da aplicação. Entre as portas mais sensíveis estão a 80 e a 443 (HTTP e HTTPS, geralmente liberadas para qualquer endereço, com a 443 preferível por oferecer criptografia), a 22 (SSH, de acesso administrativo remoto, que deve ser restrita à rede da equipe técnica), a 3389 (RDP, acesso remoto Windows), a 21 (FTP) e portas de bancos de dados como a 5432 (PostgreSQL) — todas elas alvos frequentes de tentativas de invasão quando deixadas abertas para qualquer origem (0.0.0.0/0).</w:t>
      </w:r>
    </w:p>
    <w:p>
      <w:pPr>
        <w:spacing w:after="200" w:line="276"/>
        <w:jc w:val="both"/>
      </w:pPr>
      <w:r>
        <w:rPr>
          <w:sz w:val="22"/>
          <w:szCs w:val="22"/>
        </w:rPr>
        <w:t xml:space="preserve">Entre os erros mais comuns nessa configuração estão: aceitar as configurações padrão oferecidas pelo provedor (o "next, next, finish") em vez de personalizá-las, já que agentes maliciosos conhecem bem essas configurações-padrão e suas vulnerabilidades; manter senhas e usuários padrão, como admin/admin; e, um erro mais sutil e específico da nuvem, não definir um limite máximo de escalonamento ao configurar a elasticidade horizontal — o que pode ser explorado por ataques de negação de serviço (DDoS) simulando um grande volume de usuários legítimos, levando o ambiente a escalonar automaticamente dezenas ou centenas de servidores desnecessários e gerar uma cobrança substancial sem que exista, de fato, demanda real. Vale reforçar que a nuvem não é, por si, mais ou menos segura do que um ambiente on-premises: qualquer serviço exposto à internet enfrenta o mesmo tipo de ataque, e a arquitetura de segurança — grupos de segurança, autenticação, monitoramento — precisa ser construída com o mesmo cuidado em ambos os casos.</w:t>
      </w:r>
    </w:p>
    <w:p>
      <w:pPr>
        <w:pStyle w:val="Heading1"/>
        <w:spacing w:after="200" w:before="400"/>
      </w:pPr>
      <w:r>
        <w:rPr>
          <w:b/>
          <w:bCs/>
          <w:color w:val="1F3864"/>
          <w:sz w:val="28"/>
          <w:szCs w:val="28"/>
        </w:rPr>
        <w:t xml:space="preserve">4. APLICAÇÕES DE MICROSSERVIÇOS</w:t>
      </w:r>
    </w:p>
    <w:p>
      <w:pPr>
        <w:spacing w:after="200" w:line="276"/>
        <w:jc w:val="both"/>
      </w:pPr>
      <w:r>
        <w:rPr>
          <w:sz w:val="22"/>
          <w:szCs w:val="22"/>
        </w:rPr>
        <w:t xml:space="preserve">A arquitetura de microsserviços consiste em estruturar uma aplicação como um conjunto de serviços pequenos, independentes e fracamente acoplados, cada um responsável por uma capacidade de negócio específica (single responsibility), comunicando-se entre si por meio de interfaces bem definidas — tipicamente APIs REST, gRPC ou mecanismos assíncronos de mensageria (ex.: Apache Kafka, RabbitMQ). Essa arquitetura não surgiu isolada: ela é o resultado de uma evolução progressiva na forma de estruturar aplicações, apresentada a seguir.</w:t>
      </w:r>
    </w:p>
    <w:p>
      <w:pPr>
        <w:pStyle w:val="Heading2"/>
        <w:spacing w:after="120" w:before="260"/>
      </w:pPr>
      <w:r>
        <w:rPr>
          <w:b/>
          <w:bCs/>
          <w:i/>
          <w:iCs/>
          <w:color w:val="2E74B5"/>
          <w:sz w:val="24"/>
          <w:szCs w:val="24"/>
        </w:rPr>
        <w:t xml:space="preserve">4.1 Da arquitetura monolítica à cloud native</w:t>
      </w:r>
    </w:p>
    <w:p>
      <w:pPr>
        <w:spacing w:after="200" w:line="276"/>
        <w:jc w:val="both"/>
      </w:pPr>
      <w:r>
        <w:rPr>
          <w:sz w:val="22"/>
          <w:szCs w:val="22"/>
        </w:rPr>
        <w:t xml:space="preserve">Uma arquitetura monolítica roda, em um único processo e num único programa, diversos componentes que compõem a aplicação (por exemplo, cadastro, alteração e exclusão de clientes, tudo em uma mesma base de código). Suas vantagens incluem facilidade de desenvolvimento e de deploy, bom suporte por ambientes de desenvolvimento integrados (IDEs) e por comunidades de programadores, e o fato de ser a arquitetura sobre a qual ainda se apoia a maioria das aplicações em uso. Suas desvantagens, por outro lado, incluem constituir um ponto único de falha, exigir manutenção de uma base de código extensa, apresentar ineficiência de escalabilidade horizontal e exigir o deploy da aplicação inteira — com o downtime associado — mesmo para alterar um único componente.</w:t>
      </w:r>
    </w:p>
    <w:p>
      <w:pPr>
        <w:spacing w:after="200" w:line="276"/>
        <w:jc w:val="both"/>
      </w:pPr>
      <w:r>
        <w:rPr>
          <w:sz w:val="22"/>
          <w:szCs w:val="22"/>
        </w:rPr>
        <w:t xml:space="preserve">Como resposta a essas limitações, popularizou-se a Arquitetura Orientada a Serviços (SOA), que define o software como funções de negócio (componentes/serviços) que operam em conjunto, disponíveis em um local — em geral a própria internet, daí o nome WebServices — para que outras aplicações os utilizem, independentemente da linguagem de programação empregada, desde que respeitados os padrões de comunicação (como XML para descrever os serviços, SOAP para troca de mensagens, WSDL para descrever interfaces, UDDI como diretório de serviços e WS-BPEL para composição de fluxos). O SOA trouxe baixo acoplamento entre componentes, facilidade de integração e possibilidade de reúso dos serviços, mas exigiu investimento inicial significativo para adaptar a arquitetura das aplicações e trouxe o risco de serviços genéricos demais para atender aos requisitos reais do negócio.</w:t>
      </w:r>
    </w:p>
    <w:p>
      <w:pPr>
        <w:spacing w:after="200" w:line="276"/>
        <w:jc w:val="both"/>
      </w:pPr>
      <w:r>
        <w:rPr>
          <w:sz w:val="22"/>
          <w:szCs w:val="22"/>
        </w:rPr>
        <w:t xml:space="preserve">A arquitetura de microsserviços aprofunda essa segregação: em vez de poucos serviços de negócio relativamente amplos, cada função da aplicação passa a ser um serviço pequeno e independente, tipicamente empacotado em um contêiner leve — e não em uma máquina virtual completa. Mais recentemente, a literatura tem consolidado o conceito de aplicações cloud native, que já nascem projetadas para a nuvem, combinando contêineres, orquestração via Kubernetes, entrega contínua (CI/CD), observabilidade e, em alguns casos, computação serverless. Essa evolução pode ser resumida na sequência: arquitetura monolítica (predominante a partir da década de 1990) → arquitetura orientada a serviços (anos 2000) → microsserviços (anos 2010) → aplicações cloud native (anos 2020 em diante) — um percurso motivado pela busca crescente por agilidade, escalabilidade e resiliência.</w:t>
      </w:r>
    </w:p>
    <w:p>
      <w:pPr>
        <w:pStyle w:val="Heading2"/>
        <w:spacing w:after="120" w:before="260"/>
      </w:pPr>
      <w:r>
        <w:rPr>
          <w:b/>
          <w:bCs/>
          <w:i/>
          <w:iCs/>
          <w:color w:val="2E74B5"/>
          <w:sz w:val="24"/>
          <w:szCs w:val="24"/>
        </w:rPr>
        <w:t xml:space="preserve">4.2 Princípios centrais</w:t>
      </w:r>
    </w:p>
    <w:p>
      <w:pPr>
        <w:pStyle w:val="ListParagraph"/>
        <w:numPr>
          <w:ilvl w:val="0"/>
          <w:numId w:val="1"/>
        </w:numPr>
        <w:spacing w:after="100"/>
        <w:jc w:val="both"/>
      </w:pPr>
      <w:r>
        <w:rPr>
          <w:sz w:val="22"/>
          <w:szCs w:val="22"/>
        </w:rPr>
        <w:t xml:space="preserve">Descentralização de dados: cada microsserviço tende a possuir seu próprio banco de dados, evitando acoplamento por meio de esquemas compartilhados — inclusive podendo adotar tecnologias de armazenamento diferentes conforme o tipo de dado (por exemplo, base orientada a grafos para relacionamentos de redes sociais, base especializada em indexação para documentos e armazenamento do tipo blob storage para imagens e vídeos).</w:t>
      </w:r>
    </w:p>
    <w:p>
      <w:pPr>
        <w:pStyle w:val="ListParagraph"/>
        <w:numPr>
          <w:ilvl w:val="0"/>
          <w:numId w:val="1"/>
        </w:numPr>
        <w:spacing w:after="100"/>
        <w:jc w:val="both"/>
      </w:pPr>
      <w:r>
        <w:rPr>
          <w:sz w:val="22"/>
          <w:szCs w:val="22"/>
        </w:rPr>
        <w:t xml:space="preserve">Implantação independente: cada serviço pode ser desenvolvido, testado, implantado e escalado de forma autônoma, por equipes pequenas e multidisciplinares (alinhado à Lei de Conway).</w:t>
      </w:r>
    </w:p>
    <w:p>
      <w:pPr>
        <w:pStyle w:val="ListParagraph"/>
        <w:numPr>
          <w:ilvl w:val="0"/>
          <w:numId w:val="1"/>
        </w:numPr>
        <w:spacing w:after="100"/>
        <w:jc w:val="both"/>
      </w:pPr>
      <w:r>
        <w:rPr>
          <w:sz w:val="22"/>
          <w:szCs w:val="22"/>
        </w:rPr>
        <w:t xml:space="preserve">Heterogeneidade tecnológica: microsserviços distintos podem ser escritos em linguagens de programação e tecnologias diferentes, conforme a necessidade de cada função de negócio.</w:t>
      </w:r>
    </w:p>
    <w:p>
      <w:pPr>
        <w:pStyle w:val="ListParagraph"/>
        <w:numPr>
          <w:ilvl w:val="0"/>
          <w:numId w:val="1"/>
        </w:numPr>
        <w:spacing w:after="100"/>
        <w:jc w:val="both"/>
      </w:pPr>
      <w:r>
        <w:rPr>
          <w:sz w:val="22"/>
          <w:szCs w:val="22"/>
        </w:rPr>
        <w:t xml:space="preserve">Tolerância a falhas: falhas em um serviço não devem, idealmente, comprometer o sistema como um todo (padrões como circuit breaker e retry com backoff).</w:t>
      </w:r>
    </w:p>
    <w:p>
      <w:pPr>
        <w:pStyle w:val="ListParagraph"/>
        <w:numPr>
          <w:ilvl w:val="0"/>
          <w:numId w:val="1"/>
        </w:numPr>
        <w:spacing w:after="100"/>
        <w:jc w:val="both"/>
      </w:pPr>
      <w:r>
        <w:rPr>
          <w:sz w:val="22"/>
          <w:szCs w:val="22"/>
        </w:rPr>
        <w:t xml:space="preserve">Automação de infraestrutura: pipelines de integração e entrega contínuas (CI/CD) e cultura DevOps são essenciais para viabilizar implantações frequentes e independentes. O DevOps busca romper o chamado "muro da confusão" entre os times de desenvolvimento (que evoluem o produto) e de operações (que sustentam a infraestrutura), integrando-os para eliminar entregas às cegas de um lado para o outro; embora seja um conceito independente da nuvem, a automação e a infraestrutura como código oferecidas pelos provedores de nuvem favorecem fortemente sua adoção.</w:t>
      </w:r>
    </w:p>
    <w:p>
      <w:pPr>
        <w:spacing w:after="200" w:line="276"/>
        <w:jc w:val="both"/>
      </w:pPr>
      <w:r>
        <w:rPr>
          <w:sz w:val="22"/>
          <w:szCs w:val="22"/>
        </w:rPr>
        <w:t xml:space="preserve">A comunicação entre microsserviços costuma ocorrer via API REST (Representational State Transfer), que emprega o protocolo HTTP e o padrão URI (Uniform Resource Identifier) para identificar recursos; os métodos HTTP — POST, GET, PUT e DELETE — são então utilizados para, respectivamente, criar, recuperar, atualizar e excluir esses recursos.</w:t>
      </w:r>
    </w:p>
    <w:p>
      <w:pPr>
        <w:pStyle w:val="Heading2"/>
        <w:spacing w:after="120" w:before="260"/>
      </w:pPr>
      <w:r>
        <w:rPr>
          <w:b/>
          <w:bCs/>
          <w:i/>
          <w:iCs/>
          <w:color w:val="2E74B5"/>
          <w:sz w:val="24"/>
          <w:szCs w:val="24"/>
        </w:rPr>
        <w:t xml:space="preserve">4.3 Containers e orquestração</w:t>
      </w:r>
    </w:p>
    <w:p>
      <w:pPr>
        <w:spacing w:after="200" w:line="276"/>
        <w:jc w:val="both"/>
      </w:pPr>
      <w:r>
        <w:rPr>
          <w:sz w:val="22"/>
          <w:szCs w:val="22"/>
        </w:rPr>
        <w:t xml:space="preserve">A relação entre microsserviços e virtualização de contêineres é intrínseca: cada microsserviço é tipicamente empacotado em uma imagem de contêiner (Docker), garantindo consistência entre os ambientes de desenvolvimento, teste e produção. Como uma aplicação real pode ser composta por dezenas ou centenas de instâncias de contêineres, torna-se indispensável o uso de plataformas de orquestração, como o Kubernetes, responsáveis por automatizar a implantação, o escalonamento horizontal, o balanceamento de carga, a autorrecuperação (self-healing) e a descoberta de serviços (service discovery).</w:t>
      </w:r>
    </w:p>
    <w:p>
      <w:pPr>
        <w:spacing w:after="200" w:line="276"/>
        <w:jc w:val="both"/>
      </w:pPr>
      <w:r>
        <w:rPr>
          <w:sz w:val="22"/>
          <w:szCs w:val="22"/>
        </w:rPr>
        <w:t xml:space="preserve">Entre os principais desafios da adoção de microsserviços destacam-se: o aumento da complexidade operacional distribuída (múltiplos serviços, cada qual com seus próprios logs, métricas e falhas possíveis, que precisam se comunicar via rede local ou internet); a necessidade de observabilidade avançada (logging centralizado, métricas e rastreamento distribuído — distributed tracing); o suporte ainda limitado de alguns ambientes de desenvolvimento a sistemas distribuídos; a garantia de consistência de dados entre serviços sem transações distribuídas tradicionais (uso de padrões como Saga); a necessidade de mais unidades de processamento, o que pode elevar custos; a latência adicional introduzida pela comunicação em rede entre serviços que, em um monolito, seriam chamadas de função locais; e a dificuldade de integrar aplicações legadas a esse modelo. Em contrapartida, destacam-se como vantagens a independência entre serviços, a simplicidade para adicionar novas funcionalidades, a tolerância a falhas, a heterogeneidade de tecnologias e a facilidade de manutenção — já que cada bug tende a estar isolado em um serviço pequeno e de fácil compreensão.</w:t>
      </w:r>
    </w:p>
    <w:p>
      <w:pPr>
        <w:pStyle w:val="Heading1"/>
        <w:spacing w:after="200" w:before="400"/>
      </w:pPr>
      <w:r>
        <w:rPr>
          <w:b/>
          <w:bCs/>
          <w:color w:val="1F3864"/>
          <w:sz w:val="28"/>
          <w:szCs w:val="28"/>
        </w:rPr>
        <w:t xml:space="preserve">5. ACORDOS DE NÍVEL DE SERVIÇO (SLA)</w:t>
      </w:r>
    </w:p>
    <w:p>
      <w:pPr>
        <w:spacing w:after="200" w:line="276"/>
        <w:jc w:val="both"/>
      </w:pPr>
      <w:r>
        <w:rPr>
          <w:sz w:val="22"/>
          <w:szCs w:val="22"/>
        </w:rPr>
        <w:t xml:space="preserve">Um Acordo de Nível de Serviço (Service Level Agreement — SLA) é um contrato, formal ou informal, entre um provedor de serviços de nuvem e seu cliente, que estabelece de forma objetiva e mensurável o nível de qualidade esperado do serviço — tipicamente expresso em termos de disponibilidade (uptime), desempenho, tempo de resposta a incidentes e condições de compensação (créditos de serviço) em caso de descumprimento. Segundo a definição do NIST (2011), o SLA representa o entendimento entre o consumidor e o provedor de nuvem sobre o nível de serviço acordado a ser entregue e, em caso de falha do provedor em entregar esse nível, a compensação que precisa ser oferecida ao consumidor. O termo pode ser decomposto em quatro conceitos: o acordo é o contrato entre duas ou mais partes interessadas; o serviço é aquilo que é ofertado e possui valor para o cliente; o nível de serviço é a medição do resultado (desempenho e qualidade) alcançado pelo serviço; e as metas de nível de serviço são os índices ou indicadores a serem atingidos.</w:t>
      </w:r>
    </w:p>
    <w:p>
      <w:pPr>
        <w:pStyle w:val="Heading2"/>
        <w:spacing w:after="120" w:before="260"/>
      </w:pPr>
      <w:r>
        <w:rPr>
          <w:b/>
          <w:bCs/>
          <w:i/>
          <w:iCs/>
          <w:color w:val="2E74B5"/>
          <w:sz w:val="24"/>
          <w:szCs w:val="24"/>
        </w:rPr>
        <w:t xml:space="preserve">5.1 Evolução histórica e gestão de níveis de serviço</w:t>
      </w:r>
    </w:p>
    <w:p>
      <w:pPr>
        <w:spacing w:after="200" w:line="276"/>
        <w:jc w:val="both"/>
      </w:pPr>
      <w:r>
        <w:rPr>
          <w:sz w:val="22"/>
          <w:szCs w:val="22"/>
        </w:rPr>
        <w:t xml:space="preserve">O acordo de nível de serviço, como praticado hoje, é resultado de uma evolução de décadas na forma como a área de tecnologia se relaciona com seus usuários. Nas décadas de 1980 e 1990, o atendimento era essencialmente reativo e manual, por meio de suporte técnico focado em resolver problemas pontuais, sem métricas ou compromissos formais. Ao longo dos anos 1990, esse atendimento se estruturou em torno do help desk, com registro e categorização básica de chamados, ainda sem tempos de atendimento formalmente acordados. Nos anos 2000, a adoção de frameworks como o ITIL (Information Technology Infrastructure Library) trouxe a profissionalização da área, com processos padronizados, papéis e responsabilidades definidos e catálogos de serviços — criando a base necessária para o surgimento dos acordos formais de nível de serviço (SLA), com metas, responsabilidades, métricas, compromissos e penalidades explícitas. A partir de 2010, ganhou força a disciplina de Engenharia de Confiabilidade de Sítio (SRE), que trouxe a confiabilidade como responsabilidade de engenharia — com cultura de automação e observabilidade —, e, dentro dela, os conceitos de SLO (metas de nível de serviço orientadas à experiência do usuário) e SLI (indicadores objetivos, coletados automaticamente, que alimentam SLOs e decisões orientadas a dados).</w:t>
      </w:r>
    </w:p>
    <w:p>
      <w:pPr>
        <w:spacing w:after="200" w:line="276"/>
        <w:jc w:val="both"/>
      </w:pPr>
      <w:r>
        <w:rPr>
          <w:sz w:val="22"/>
          <w:szCs w:val="22"/>
        </w:rPr>
        <w:t xml:space="preserve">Antes de estabelecer um SLA, é recomendável que a organização conheça a metodologia de gestão de serviços a ser utilizada (como o próprio ITIL ou o Microsoft Operations Framework), estabeleça estágios ou fases para a implantação dessa gestão, e sobretudo promova uma mudança conceitual e comportamental: o conceito de serviço precisa ser incorporado internamente pela área de TI antes de ser oferecido para fora dela — a TI passa a oferecer serviços no lugar de "tecnologia" ou "infraestrutura", o que exige conhecer a própria capacidade de atendimento, os recursos disponíveis, a demanda histórica e a cultura da organização. Como resume Cougo (2013), o controle de recursos não deve ser uma atividade reativa criada somente depois que os recursos já existem — isso é típico da gestão de infraestrutura, e não da gestão de serviços, que exige avaliar a capacidade dos serviços, e não apenas dos recursos. Esse processo é conduzido pelo Gerenciamento de Níveis de Serviço (GNS, ou Service Level Management — SLM), disciplina que requer um catálogo de serviços, estabelece diretrizes para padronizar indicadores e formas de cálculo, e auxilia as atividades de auditoria e gestão de contratos — sendo a maior barreira, segundo Cougo (2013), não as questões operacionais, mas as questões gerenciais, já que as mudanças precisam começar nos níveis de gestão.</w:t>
      </w:r>
    </w:p>
    <w:p>
      <w:pPr>
        <w:spacing w:after="200" w:line="276"/>
        <w:jc w:val="both"/>
      </w:pPr>
      <w:r>
        <w:rPr>
          <w:sz w:val="22"/>
          <w:szCs w:val="22"/>
        </w:rPr>
        <w:t xml:space="preserve">Um SLA não é um documento estático: por conta de avanços tecnológicos e mudanças nas necessidades do negócio, seus índices devem ser revistos periodicamente — segundo o ITIL, em ciclos de aproximadamente três meses, seguindo um processo de planejamento, criação, avaliação e revisão, sempre alinhado ao princípio de que é melhor iniciar com um nível de maturidade menor e agregar melhorias gradativamente do que estabelecer, de forma precoce, um grau de maturidade muito alto e frustrar os clientes (COUGO, 2013). Ignorar essa revisão é um erro comum: se um indicador contratado em 98% de disponibilidade é sistematicamente entregue acima de 99% ano após ano, a ausência de revisão faz com que, na renovação do contrato, a cláusula seja simplesmente copiada sem ajuste — de modo que, se o desempenho eventualmente cair para próximo do mínimo contratual, o cliente perde a força de argumentação, pois o provedor continua tecnicamente dentro do que foi acordado. Vale reforçar, por fim, que grandes provedores de nuvem (como os três principais discutidos na Seção 3.2) raramente customizam seu SLA para um cliente específico, por se tratar de um produto padronizado globalmente — a flexibilidade de negociação tende a ser maior com provedores de menor porte —, e que 100% de disponibilidade não é uma meta realista de se exigir: dificilmente algum provedor sério oferecerá esse compromisso.</w:t>
      </w:r>
    </w:p>
    <w:p>
      <w:pPr>
        <w:pStyle w:val="Heading2"/>
        <w:spacing w:after="120" w:before="260"/>
      </w:pPr>
      <w:r>
        <w:rPr>
          <w:b/>
          <w:bCs/>
          <w:i/>
          <w:iCs/>
          <w:color w:val="2E74B5"/>
          <w:sz w:val="24"/>
          <w:szCs w:val="24"/>
        </w:rPr>
        <w:t xml:space="preserve">5.2 Disponibilidade</w:t>
      </w:r>
    </w:p>
    <w:p>
      <w:pPr>
        <w:spacing w:after="200" w:line="276"/>
        <w:jc w:val="both"/>
      </w:pPr>
      <w:r>
        <w:rPr>
          <w:sz w:val="22"/>
          <w:szCs w:val="22"/>
        </w:rPr>
        <w:t xml:space="preserve">Na computação em nuvem, a principal forma de medir a qualidade de um serviço é a sua disponibilidade: a capacidade de um sistema permanecer acessível e operacional sempre que seus usuários precisam dele, normalmente expressa em percentual de tempo disponível ao longo de um período. Na computação tradicional, a organização é dona de toda a infraestrutura e, portanto, também é inteiramente responsável por sua disponibilidade — podendo inclusive desligar um servidor quando quiser, desde que assuma as consequências disso. Ao migrar para a nuvem, essa responsabilidade passa a ser compartilhada com o provedor: independentemente de o serviço contratado ser IaaS, PaaS ou SaaS, o mais importante para o cliente passa a ser que o serviço esteja disponível sempre que ele precisar acessá-lo. Para determinados sistemas — chamados de missão crítica, como o controle de tráfego aéreo ou sistemas nacionais de pagamento instantâneo — a disponibilidade precisa ser levada com o máximo rigor, já que uma falha pode gerar impactos humanos ou financeiros muito graves; para um site de vendas, uma indisponibilidade em data de alta demanda pode representar perdas financeiras diretas relevantes.</w:t>
      </w:r>
    </w:p>
    <w:p>
      <w:pPr>
        <w:spacing w:after="200" w:line="276"/>
        <w:jc w:val="both"/>
      </w:pPr>
      <w:r>
        <w:rPr>
          <w:sz w:val="22"/>
          <w:szCs w:val="22"/>
        </w:rPr>
        <w:t xml:space="preserve">É importante distinguir indisponibilidade de janela de manutenção: quando um provedor comunica previamente que um serviço ficará indisponível em determinado intervalo para manutenção programada, esse período — em geral cada vez mais raro, à medida que as técnicas de migração e failover evoluem — não é contabilizado como indisponibilidade para fins de SLA; apenas as interrupções não programadas o são. A tabela a seguir ilustra o quanto cada nível de disponibilidade permite de indisponibilidade não programada ao longo de um ano.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100"/>
              <w:left w:type="dxa" w:w="120"/>
              <w:bottom w:type="dxa" w:w="100"/>
              <w:right w:type="dxa" w:w="120"/>
            </w:tcMar>
            <w:vAlign w:val="center"/>
          </w:tcPr>
          <w:p>
            <w:pPr>
              <w:jc w:val="left"/>
            </w:pPr>
            <w:r>
              <w:rPr>
                <w:b/>
                <w:bCs/>
                <w:color w:val="FFFFFF"/>
                <w:sz w:val="19"/>
                <w:szCs w:val="19"/>
              </w:rPr>
              <w:t xml:space="preserve">Disponibilidade</w:t>
            </w:r>
          </w:p>
        </w:tc>
        <w:tc>
          <w:tcPr>
            <w:tcW w:type="dxa" w:w="4675"/>
            <w:shd w:fill="1F3864" w:val="clear"/>
            <w:tcMar>
              <w:top w:type="dxa" w:w="100"/>
              <w:left w:type="dxa" w:w="120"/>
              <w:bottom w:type="dxa" w:w="100"/>
              <w:right w:type="dxa" w:w="120"/>
            </w:tcMar>
            <w:vAlign w:val="center"/>
          </w:tcPr>
          <w:p>
            <w:pPr>
              <w:jc w:val="left"/>
            </w:pPr>
            <w:r>
              <w:rPr>
                <w:b/>
                <w:bCs/>
                <w:color w:val="FFFFFF"/>
                <w:sz w:val="19"/>
                <w:szCs w:val="19"/>
              </w:rPr>
              <w:t xml:space="preserve">Indisponibilidade tolerada por ano</w:t>
            </w:r>
          </w:p>
        </w:tc>
      </w:tr>
      <w:tr>
        <w:tc>
          <w:tcPr>
            <w:tcW w:type="dxa" w:w="4675"/>
            <w:tcMar>
              <w:top w:type="dxa" w:w="100"/>
              <w:left w:type="dxa" w:w="120"/>
              <w:bottom w:type="dxa" w:w="100"/>
              <w:right w:type="dxa" w:w="120"/>
            </w:tcMar>
            <w:vAlign w:val="center"/>
          </w:tcPr>
          <w:p>
            <w:pPr>
              <w:jc w:val="left"/>
            </w:pPr>
            <w:r>
              <w:rPr>
                <w:b w:val="false"/>
                <w:bCs w:val="false"/>
                <w:color w:val="000000"/>
                <w:sz w:val="19"/>
                <w:szCs w:val="19"/>
              </w:rPr>
              <w:t xml:space="preserve">99%</w:t>
            </w:r>
          </w:p>
        </w:tc>
        <w:tc>
          <w:tcPr>
            <w:tcW w:type="dxa" w:w="4675"/>
            <w:tcMar>
              <w:top w:type="dxa" w:w="100"/>
              <w:left w:type="dxa" w:w="120"/>
              <w:bottom w:type="dxa" w:w="100"/>
              <w:right w:type="dxa" w:w="120"/>
            </w:tcMar>
            <w:vAlign w:val="center"/>
          </w:tcPr>
          <w:p>
            <w:pPr>
              <w:jc w:val="left"/>
            </w:pPr>
            <w:r>
              <w:rPr>
                <w:b w:val="false"/>
                <w:bCs w:val="false"/>
                <w:color w:val="000000"/>
                <w:sz w:val="19"/>
                <w:szCs w:val="19"/>
              </w:rPr>
              <w:t xml:space="preserve">3 dias e 15 horas</w:t>
            </w:r>
          </w:p>
        </w:tc>
      </w:tr>
      <w:tr>
        <w:tc>
          <w:tcPr>
            <w:tcW w:type="dxa" w:w="4675"/>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99,9%</w:t>
            </w:r>
          </w:p>
        </w:tc>
        <w:tc>
          <w:tcPr>
            <w:tcW w:type="dxa" w:w="4675"/>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8 horas e 46 minutos</w:t>
            </w:r>
          </w:p>
        </w:tc>
      </w:tr>
      <w:tr>
        <w:tc>
          <w:tcPr>
            <w:tcW w:type="dxa" w:w="4675"/>
            <w:tcMar>
              <w:top w:type="dxa" w:w="100"/>
              <w:left w:type="dxa" w:w="120"/>
              <w:bottom w:type="dxa" w:w="100"/>
              <w:right w:type="dxa" w:w="120"/>
            </w:tcMar>
            <w:vAlign w:val="center"/>
          </w:tcPr>
          <w:p>
            <w:pPr>
              <w:jc w:val="left"/>
            </w:pPr>
            <w:r>
              <w:rPr>
                <w:b w:val="false"/>
                <w:bCs w:val="false"/>
                <w:color w:val="000000"/>
                <w:sz w:val="19"/>
                <w:szCs w:val="19"/>
              </w:rPr>
              <w:t xml:space="preserve">99,99%</w:t>
            </w:r>
          </w:p>
        </w:tc>
        <w:tc>
          <w:tcPr>
            <w:tcW w:type="dxa" w:w="4675"/>
            <w:tcMar>
              <w:top w:type="dxa" w:w="100"/>
              <w:left w:type="dxa" w:w="120"/>
              <w:bottom w:type="dxa" w:w="100"/>
              <w:right w:type="dxa" w:w="120"/>
            </w:tcMar>
            <w:vAlign w:val="center"/>
          </w:tcPr>
          <w:p>
            <w:pPr>
              <w:jc w:val="left"/>
            </w:pPr>
            <w:r>
              <w:rPr>
                <w:b w:val="false"/>
                <w:bCs w:val="false"/>
                <w:color w:val="000000"/>
                <w:sz w:val="19"/>
                <w:szCs w:val="19"/>
              </w:rPr>
              <w:t xml:space="preserve">52 minutos</w:t>
            </w:r>
          </w:p>
        </w:tc>
      </w:tr>
      <w:tr>
        <w:tc>
          <w:tcPr>
            <w:tcW w:type="dxa" w:w="4675"/>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99,999%</w:t>
            </w:r>
          </w:p>
        </w:tc>
        <w:tc>
          <w:tcPr>
            <w:tcW w:type="dxa" w:w="4675"/>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aproximadamente 5 minutos</w:t>
            </w:r>
          </w:p>
        </w:tc>
      </w:tr>
    </w:tbl>
    <w:p>
      <w:pPr>
        <w:spacing w:after="200"/>
      </w:pPr>
    </w:p>
    <w:p>
      <w:pPr>
        <w:spacing w:after="200" w:line="276"/>
        <w:jc w:val="both"/>
      </w:pPr>
      <w:r>
        <w:rPr>
          <w:sz w:val="22"/>
          <w:szCs w:val="22"/>
        </w:rPr>
        <w:t xml:space="preserve">Cada "nove" adicional exige investimentos significativos em redundância e automação — daí não existir, na prática, nenhum provedor público de nuvem que ofereça 100% de disponibilidade: essa seria, inclusive, uma métrica pouco confiável, já que todo sistema computacional está sujeito a falhas eventuais. É justamente para reduzir a frequência e o impacto dessas falhas que se recorre ao conceito de alta disponibilidade, tratado adiante nesta seção.</w:t>
      </w:r>
    </w:p>
    <w:p>
      <w:pPr>
        <w:pStyle w:val="Heading2"/>
        <w:spacing w:after="120" w:before="260"/>
      </w:pPr>
      <w:r>
        <w:rPr>
          <w:b/>
          <w:bCs/>
          <w:i/>
          <w:iCs/>
          <w:color w:val="2E74B5"/>
          <w:sz w:val="24"/>
          <w:szCs w:val="24"/>
        </w:rPr>
        <w:t xml:space="preserve">5.3 SLA, SLO e SLI</w:t>
      </w:r>
    </w:p>
    <w:p>
      <w:pPr>
        <w:spacing w:after="200" w:line="276"/>
        <w:jc w:val="both"/>
      </w:pPr>
      <w:r>
        <w:rPr>
          <w:sz w:val="22"/>
          <w:szCs w:val="22"/>
        </w:rPr>
        <w:t xml:space="preserve">É importante distinguir três conceitos organizados hierarquicamente, como uma pirâmide. Na base estão os SLIs (Service Level Indicators): métricas objetivas que medem o comportamento real do sistema, coletadas automaticamente a partir de dados do sistema — por exemplo, o percentual de requisições bem-sucedidas, calculado como o número de requisições de sucesso dividido pelo número total de requisições, multiplicado por 100. No nível intermediário estão os SLOs (Service Level Objectives): metas internas definidas com base na experiência do usuário e nas necessidades do negócio (por exemplo, 99,9% das requisições com sucesso em um mês), que devem ser alcançáveis e, sobretudo, mensuráveis. No topo está o SLA (Service Level Agreement): o contrato entre provedor e cliente que define o nível de serviço esperado, as responsabilidades de cada parte e as penalidades em caso de descumprimento — costumando ser ligeiramente menos rigoroso do que o SLO interno da equipe de engenharia, para preservar margem de segurança. Entre os SLIs mais comuns estão a disponibilidade (disparadamente o mais utilizado), a latência, a taxa de erros, o throughput (número de requisições processadas por unidade de tempo) e a utilização de recursos — este último pouco relevante em contratos de SaaS ou PaaS, já que a infraestrutura subjacente pertence ao provedor, e não ao cliente.</w:t>
      </w:r>
    </w:p>
    <w:p>
      <w:pPr>
        <w:spacing w:after="200" w:line="276"/>
        <w:jc w:val="both"/>
      </w:pPr>
      <w:r>
        <w:rPr>
          <w:sz w:val="22"/>
          <w:szCs w:val="22"/>
        </w:rPr>
        <w:t xml:space="preserve">O fluxo tecnicamente correto de construção é ascendente: primeiro se define o indicador (como medir), depois o objetivo (qual meta perseguir) e, por fim, o acordo (o que se formaliza contratualmente). Na prática de mercado, porém, é comum o caminho inverso: muitas organizações já têm um SLA histórico estabelecido e, apenas posteriormente, desmembram-no em objetivos e indicadores para conseguir mensurá-lo — o que não invalida o resultado, mas exige atenção a um erro frequente e grave: estabelecer, em um SLA, um compromisso de disponibilidade (por exemplo, 99,95%) sem ter, de fato, uma forma confiável de medir se esse número está sendo cumprido. Não é possível concordar contratualmente com algo que não se pode auditar; a medição pode ser feita pela própria organização contratante ou, mediante acordo prévio, aceitando os relatórios do próprio provedor — desde que este último tenha processos de coleta auditados e confiáveis, e não relatórios emitidos de forma arbitrária.</w:t>
      </w:r>
    </w:p>
    <w:p>
      <w:pPr>
        <w:spacing w:after="200" w:line="276"/>
        <w:jc w:val="both"/>
      </w:pPr>
      <w:r>
        <w:rPr>
          <w:sz w:val="22"/>
          <w:szCs w:val="22"/>
        </w:rPr>
        <w:t xml:space="preserve">Entre os indicadores mais utilizados para compor um SLA de disponibilidade estão os seguintes, resumidos no quadro a seguir.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50"/>
      </w:tblGrid>
      <w:tr>
        <w:trPr>
          <w:tblHeader/>
        </w:trPr>
        <w:tc>
          <w:tcPr>
            <w:tcW w:type="dxa" w:w="2900"/>
            <w:shd w:fill="1F3864" w:val="clear"/>
            <w:tcMar>
              <w:top w:type="dxa" w:w="100"/>
              <w:left w:type="dxa" w:w="120"/>
              <w:bottom w:type="dxa" w:w="100"/>
              <w:right w:type="dxa" w:w="120"/>
            </w:tcMar>
            <w:vAlign w:val="center"/>
          </w:tcPr>
          <w:p>
            <w:pPr>
              <w:jc w:val="left"/>
            </w:pPr>
            <w:r>
              <w:rPr>
                <w:b/>
                <w:bCs/>
                <w:color w:val="FFFFFF"/>
                <w:sz w:val="19"/>
                <w:szCs w:val="19"/>
              </w:rPr>
              <w:t xml:space="preserve">Indicador</w:t>
            </w:r>
          </w:p>
        </w:tc>
        <w:tc>
          <w:tcPr>
            <w:tcW w:type="dxa" w:w="3400"/>
            <w:shd w:fill="1F3864" w:val="clear"/>
            <w:tcMar>
              <w:top w:type="dxa" w:w="100"/>
              <w:left w:type="dxa" w:w="120"/>
              <w:bottom w:type="dxa" w:w="100"/>
              <w:right w:type="dxa" w:w="120"/>
            </w:tcMar>
            <w:vAlign w:val="center"/>
          </w:tcPr>
          <w:p>
            <w:pPr>
              <w:jc w:val="left"/>
            </w:pPr>
            <w:r>
              <w:rPr>
                <w:b/>
                <w:bCs/>
                <w:color w:val="FFFFFF"/>
                <w:sz w:val="19"/>
                <w:szCs w:val="19"/>
              </w:rPr>
              <w:t xml:space="preserve">Fórmula</w:t>
            </w:r>
          </w:p>
        </w:tc>
        <w:tc>
          <w:tcPr>
            <w:tcW w:type="dxa" w:w="3050"/>
            <w:shd w:fill="1F3864" w:val="clear"/>
            <w:tcMar>
              <w:top w:type="dxa" w:w="100"/>
              <w:left w:type="dxa" w:w="120"/>
              <w:bottom w:type="dxa" w:w="100"/>
              <w:right w:type="dxa" w:w="120"/>
            </w:tcMar>
            <w:vAlign w:val="center"/>
          </w:tcPr>
          <w:p>
            <w:pPr>
              <w:jc w:val="left"/>
            </w:pPr>
            <w:r>
              <w:rPr>
                <w:b/>
                <w:bCs/>
                <w:color w:val="FFFFFF"/>
                <w:sz w:val="19"/>
                <w:szCs w:val="19"/>
              </w:rPr>
              <w:t xml:space="preserve">Interpretação</w:t>
            </w:r>
          </w:p>
        </w:tc>
      </w:tr>
      <w:tr>
        <w:tc>
          <w:tcPr>
            <w:tcW w:type="dxa" w:w="2900"/>
            <w:tcMar>
              <w:top w:type="dxa" w:w="100"/>
              <w:left w:type="dxa" w:w="120"/>
              <w:bottom w:type="dxa" w:w="100"/>
              <w:right w:type="dxa" w:w="120"/>
            </w:tcMar>
            <w:vAlign w:val="center"/>
          </w:tcPr>
          <w:p>
            <w:pPr>
              <w:jc w:val="left"/>
            </w:pPr>
            <w:r>
              <w:rPr>
                <w:b w:val="false"/>
                <w:bCs w:val="false"/>
                <w:color w:val="000000"/>
                <w:sz w:val="19"/>
                <w:szCs w:val="19"/>
              </w:rPr>
              <w:t xml:space="preserve">MTBF — Tempo médio entre falhas</w:t>
            </w:r>
          </w:p>
        </w:tc>
        <w:tc>
          <w:tcPr>
            <w:tcW w:type="dxa" w:w="3400"/>
            <w:tcMar>
              <w:top w:type="dxa" w:w="100"/>
              <w:left w:type="dxa" w:w="120"/>
              <w:bottom w:type="dxa" w:w="100"/>
              <w:right w:type="dxa" w:w="120"/>
            </w:tcMar>
            <w:vAlign w:val="center"/>
          </w:tcPr>
          <w:p>
            <w:pPr>
              <w:jc w:val="left"/>
            </w:pPr>
            <w:r>
              <w:rPr>
                <w:b w:val="false"/>
                <w:bCs w:val="false"/>
                <w:color w:val="000000"/>
                <w:sz w:val="19"/>
                <w:szCs w:val="19"/>
              </w:rPr>
              <w:t xml:space="preserve">(Tempo total de operação − Tempo total de indisponibilidade) ÷ Número de falhas</w:t>
            </w:r>
          </w:p>
        </w:tc>
        <w:tc>
          <w:tcPr>
            <w:tcW w:type="dxa" w:w="3050"/>
            <w:tcMar>
              <w:top w:type="dxa" w:w="100"/>
              <w:left w:type="dxa" w:w="120"/>
              <w:bottom w:type="dxa" w:w="100"/>
              <w:right w:type="dxa" w:w="120"/>
            </w:tcMar>
            <w:vAlign w:val="center"/>
          </w:tcPr>
          <w:p>
            <w:pPr>
              <w:jc w:val="left"/>
            </w:pPr>
            <w:r>
              <w:rPr>
                <w:b w:val="false"/>
                <w:bCs w:val="false"/>
                <w:color w:val="000000"/>
                <w:sz w:val="19"/>
                <w:szCs w:val="19"/>
              </w:rPr>
              <w:t xml:space="preserve">Quanto maior, melhor: indica que as falhas são pouco frequentes</w:t>
            </w:r>
          </w:p>
        </w:tc>
      </w:tr>
      <w:tr>
        <w:tc>
          <w:tcPr>
            <w:tcW w:type="dxa" w:w="29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MTTR — Tempo médio de reparo</w:t>
            </w:r>
          </w:p>
        </w:tc>
        <w:tc>
          <w:tcPr>
            <w:tcW w:type="dxa" w:w="34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Tempo total de manutenção ÷ Número de reparos</w:t>
            </w:r>
          </w:p>
        </w:tc>
        <w:tc>
          <w:tcPr>
            <w:tcW w:type="dxa" w:w="30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Quanto menor, melhor: indica recuperação rápida após uma falha</w:t>
            </w:r>
          </w:p>
        </w:tc>
      </w:tr>
      <w:tr>
        <w:tc>
          <w:tcPr>
            <w:tcW w:type="dxa" w:w="2900"/>
            <w:tcMar>
              <w:top w:type="dxa" w:w="100"/>
              <w:left w:type="dxa" w:w="120"/>
              <w:bottom w:type="dxa" w:w="100"/>
              <w:right w:type="dxa" w:w="120"/>
            </w:tcMar>
            <w:vAlign w:val="center"/>
          </w:tcPr>
          <w:p>
            <w:pPr>
              <w:jc w:val="left"/>
            </w:pPr>
            <w:r>
              <w:rPr>
                <w:b w:val="false"/>
                <w:bCs w:val="false"/>
                <w:color w:val="000000"/>
                <w:sz w:val="19"/>
                <w:szCs w:val="19"/>
              </w:rPr>
              <w:t xml:space="preserve">Disponibilidade</w:t>
            </w:r>
          </w:p>
        </w:tc>
        <w:tc>
          <w:tcPr>
            <w:tcW w:type="dxa" w:w="3400"/>
            <w:tcMar>
              <w:top w:type="dxa" w:w="100"/>
              <w:left w:type="dxa" w:w="120"/>
              <w:bottom w:type="dxa" w:w="100"/>
              <w:right w:type="dxa" w:w="120"/>
            </w:tcMar>
            <w:vAlign w:val="center"/>
          </w:tcPr>
          <w:p>
            <w:pPr>
              <w:jc w:val="left"/>
            </w:pPr>
            <w:r>
              <w:rPr>
                <w:b w:val="false"/>
                <w:bCs w:val="false"/>
                <w:color w:val="000000"/>
                <w:sz w:val="19"/>
                <w:szCs w:val="19"/>
              </w:rPr>
              <w:t xml:space="preserve">MTBF ÷ (MTBF + MTTR), ou Uptime ÷ (Uptime + Downtime) × 100%</w:t>
            </w:r>
          </w:p>
        </w:tc>
        <w:tc>
          <w:tcPr>
            <w:tcW w:type="dxa" w:w="3050"/>
            <w:tcMar>
              <w:top w:type="dxa" w:w="100"/>
              <w:left w:type="dxa" w:w="120"/>
              <w:bottom w:type="dxa" w:w="100"/>
              <w:right w:type="dxa" w:w="120"/>
            </w:tcMar>
            <w:vAlign w:val="center"/>
          </w:tcPr>
          <w:p>
            <w:pPr>
              <w:jc w:val="left"/>
            </w:pPr>
            <w:r>
              <w:rPr>
                <w:b w:val="false"/>
                <w:bCs w:val="false"/>
                <w:color w:val="000000"/>
                <w:sz w:val="19"/>
                <w:szCs w:val="19"/>
              </w:rPr>
              <w:t xml:space="preserve">É o indicador mais utilizado no mercado; combina frequência e duração das falhas</w:t>
            </w:r>
          </w:p>
        </w:tc>
      </w:tr>
      <w:tr>
        <w:tc>
          <w:tcPr>
            <w:tcW w:type="dxa" w:w="29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TMA — Tempo médio de atendimento</w:t>
            </w:r>
          </w:p>
        </w:tc>
        <w:tc>
          <w:tcPr>
            <w:tcW w:type="dxa" w:w="34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Tempo entre a abertura da solicitação e sua conclusão</w:t>
            </w:r>
          </w:p>
        </w:tc>
        <w:tc>
          <w:tcPr>
            <w:tcW w:type="dxa" w:w="30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Mede a velocidade do atendimento — não deve ser confundido com o tempo de resolução do problema em si</w:t>
            </w:r>
          </w:p>
        </w:tc>
      </w:tr>
    </w:tbl>
    <w:p>
      <w:pPr>
        <w:spacing w:after="200"/>
      </w:pPr>
    </w:p>
    <w:p>
      <w:pPr>
        <w:pStyle w:val="Heading2"/>
        <w:spacing w:after="120" w:before="260"/>
      </w:pPr>
      <w:r>
        <w:rPr>
          <w:b/>
          <w:bCs/>
          <w:i/>
          <w:iCs/>
          <w:color w:val="2E74B5"/>
          <w:sz w:val="24"/>
          <w:szCs w:val="24"/>
        </w:rPr>
        <w:t xml:space="preserve">5.4 Peso dos indicadores por criticidade temporal e períodos de congelamento</w:t>
      </w:r>
    </w:p>
    <w:p>
      <w:pPr>
        <w:spacing w:after="200" w:line="276"/>
        <w:jc w:val="both"/>
      </w:pPr>
      <w:r>
        <w:rPr>
          <w:sz w:val="22"/>
          <w:szCs w:val="22"/>
        </w:rPr>
        <w:t xml:space="preserve">Um mesmo indicador pode ser calculado da mesma forma, mas receber peso diferente conforme o momento em que a falha ocorre. Uma indisponibilidade durante o horário comercial, por exemplo, costuma ter peso maior do que uma indisponibilidade de madrugada, simplesmente por afetar um número maior de usuários simultâneos; da mesma forma, uma operadora de cartão de crédito tende a considerar uma indisponibilidade nos dias que antecedem o Natal muito mais crítica do que a mesma indisponibilidade em um período sem datas comemorativas relevantes, dado o volume de transações concentrado nesse período. Por esse mesmo motivo, muitas organizações estabelecem períodos de congelamento (code freeze): intervalos de tempo em que nenhuma mudança, atualização ou manutenção programada é permitida no ambiente, justamente para preservar a estabilidade do serviço em momentos críticos — como no caso de uma companhia aérea que evita agendar manutenções em seu banco de dados durante o horário de uma grande promoção de passagens, para não indisponibilizar o sistema exatamente quando o volume de clientes é maior. Essa prática de congelamento não é exclusiva da nuvem, mas é particularmente relevante em ambientes de entrega contínua, mais dinâmicos e com implantações mais frequentes.</w:t>
      </w:r>
    </w:p>
    <w:p>
      <w:pPr>
        <w:spacing w:after="200" w:line="276"/>
        <w:jc w:val="both"/>
      </w:pPr>
      <w:r>
        <w:rPr>
          <w:sz w:val="22"/>
          <w:szCs w:val="22"/>
        </w:rPr>
        <w:t xml:space="preserve">Vale registrar que algumas organizações preferem adotar o conceito mais genérico de KPI (Key Performance Indicator, ou indicador-chave de desempenho) no lugar da tríade SLA/SLO/SLI — medidas que permitem à organização obter informações sobre o desempenho de seus processos para geri-los de forma mais eficaz. Como resume a máxima atribuída a Peter Drucker, "o que pode ser medido, pode ser melhorado"; por outro lado, um indicador que nunca leva a nenhuma ação corretiva ou mudança de rumo não é, de fato, um indicador — é apenas um relatório.</w:t>
      </w:r>
    </w:p>
    <w:p>
      <w:pPr>
        <w:pStyle w:val="Heading2"/>
        <w:spacing w:after="120" w:before="260"/>
      </w:pPr>
      <w:r>
        <w:rPr>
          <w:b/>
          <w:bCs/>
          <w:i/>
          <w:iCs/>
          <w:color w:val="2E74B5"/>
          <w:sz w:val="24"/>
          <w:szCs w:val="24"/>
        </w:rPr>
        <w:t xml:space="preserve">5.5 O que normalmente fica fora de um SLA</w:t>
      </w:r>
    </w:p>
    <w:p>
      <w:pPr>
        <w:spacing w:after="200" w:line="276"/>
        <w:jc w:val="both"/>
      </w:pPr>
      <w:r>
        <w:rPr>
          <w:sz w:val="22"/>
          <w:szCs w:val="22"/>
        </w:rPr>
        <w:t xml:space="preserve">Nem todo tipo de indisponibilidade é, em geral, coberto por um SLA. Costumam ficar fora do escopo de responsabilidade do provedor — e, portanto, das penalidades contratuais — situações como: ataques de negação de serviço (DDoS); erro humano; falhas causadas pelo próprio cliente; problemas na conexão de internet do cliente; configuração incorreta feita pelo cliente (o que se conecta diretamente ao conceito de responsabilidade compartilhada discutido na Seção 3.3); manutenções planejadas e previamente comunicadas; e eventos de força maior, como desastres naturais. A abrangência exata dessas exclusões, no entanto, varia conforme o que for negociado entre as partes e formalizado no próprio contrato.</w:t>
      </w:r>
    </w:p>
    <w:p>
      <w:pPr>
        <w:pStyle w:val="Heading2"/>
        <w:spacing w:after="120" w:before="260"/>
      </w:pPr>
      <w:r>
        <w:rPr>
          <w:b/>
          <w:bCs/>
          <w:i/>
          <w:iCs/>
          <w:color w:val="2E74B5"/>
          <w:sz w:val="24"/>
          <w:szCs w:val="24"/>
        </w:rPr>
        <w:t xml:space="preserve">5.6 Cadeias de fornecimento e rastreabilidade do SLA</w:t>
      </w:r>
    </w:p>
    <w:p>
      <w:pPr>
        <w:spacing w:after="200" w:line="276"/>
        <w:jc w:val="both"/>
      </w:pPr>
      <w:r>
        <w:rPr>
          <w:sz w:val="22"/>
          <w:szCs w:val="22"/>
        </w:rPr>
        <w:t xml:space="preserve">Um cuidado importante, sobretudo ao contratar soluções SaaS, é investigar sobre qual infraestrutura o serviço efetivamente roda. É comum que um provedor de SaaS garanta, por exemplo, 100% de disponibilidade ao cliente final, mas sustente sua própria aplicação sobre a infraestrutura de um provedor de IaaS terceiro — que, por sua vez, garante apenas 99% de disponibilidade em seu próprio SLA. Nesse cenário, a disponibilidade real que o cliente final pode efetivamente esperar é limitada pelo elo mais fraco dessa cadeia: se a infraestrutura subjacente falhar dentro do que lhe é contratualmente permitido, o serviço SaaS construído sobre ela também falhará, independentemente do que este último prometeu. Investigar essa rastreabilidade — quais serviços de terceiros sustentam a solução contratada, e com qual SLA — é uma prática recomendada para que a organização compreenda a disponibilidade real (e não apenas a aparente) que pode esperar de uma cadeia de serviços em nuvem.</w:t>
      </w:r>
    </w:p>
    <w:p>
      <w:pPr>
        <w:pStyle w:val="Heading2"/>
        <w:spacing w:after="120" w:before="260"/>
      </w:pPr>
      <w:r>
        <w:rPr>
          <w:b/>
          <w:bCs/>
          <w:i/>
          <w:iCs/>
          <w:color w:val="2E74B5"/>
          <w:sz w:val="24"/>
          <w:szCs w:val="24"/>
        </w:rPr>
        <w:t xml:space="preserve">5.7 Casos de uso: SLA aparente versus SLA real</w:t>
      </w:r>
    </w:p>
    <w:p>
      <w:pPr>
        <w:spacing w:after="200" w:line="276"/>
        <w:jc w:val="both"/>
      </w:pPr>
      <w:r>
        <w:rPr>
          <w:sz w:val="22"/>
          <w:szCs w:val="22"/>
        </w:rPr>
        <w:t xml:space="preserve">Os exemplos a seguir, discutidos em aula, ilustram como o cumprimento de um SLA pode parecer diferente dependendo de qual critério isoladamente se observa — reforçando a importância de considerar múltiplos indicadores em conjunto.</w:t>
      </w:r>
    </w:p>
    <w:p>
      <w:pPr>
        <w:pStyle w:val="ListParagraph"/>
        <w:numPr>
          <w:ilvl w:val="0"/>
          <w:numId w:val="1"/>
        </w:numPr>
        <w:spacing w:after="100"/>
        <w:jc w:val="both"/>
      </w:pPr>
      <w:r>
        <w:rPr>
          <w:sz w:val="22"/>
          <w:szCs w:val="22"/>
        </w:rPr>
        <w:t xml:space="preserve">Caso 1 — Serviço 24x7, disponibilidade de 99%, interrupção máxima aceitável de 2 horas por chamado. Em um mês de 672 horas, a indisponibilidade tolerada é de 6h43. O serviço recebeu 10 chamados no mês, cada um resolvido em 1 hora, nenhum ultrapassando as 2 horas por chamado. Resultado aparente: SLA atendido, pois nenhum chamado individualmente superou o limite de 2 horas. Resultado real: SLA não atendido — a soma dos 10 chamados gerou 10 horas de indisponibilidade total no mês, acima das 6h43 toleradas. Olhar apenas o tempo de cada chamado isoladamente, sem somar o impacto agregado no mês, mascara a violação real do SLA.</w:t>
      </w:r>
    </w:p>
    <w:p>
      <w:pPr>
        <w:pStyle w:val="ListParagraph"/>
        <w:numPr>
          <w:ilvl w:val="0"/>
          <w:numId w:val="1"/>
        </w:numPr>
        <w:spacing w:after="100"/>
        <w:jc w:val="both"/>
      </w:pPr>
      <w:r>
        <w:rPr>
          <w:sz w:val="22"/>
          <w:szCs w:val="22"/>
        </w:rPr>
        <w:t xml:space="preserve">Caso 2 — Serviço em horário comercial (8h/dia, de segunda a sexta), disponibilidade de 99%, interrupção máxima de 30 minutos por chamado. Em um mês de 160 horas de operação contratada, a indisponibilidade tolerada é de 1h36. Ocorreram três chamados: 20 minutos numa segunda-feira, 10 minutos numa sexta-feira e 1h30 num sábado. Resultado aparente: SLA não atendido, pois um chamado (1h30) superou os 30 minutos. Resultado real: SLA atendido — o chamado de 1h30 ocorreu num sábado, fora da janela de operação contratada (segunda a sexta), portanto não deveria sequer ser contabilizado para fins de SLA. Isso demonstra a importância de delimitar claramente a janela de cobertura do acordo.</w:t>
      </w:r>
    </w:p>
    <w:p>
      <w:pPr>
        <w:pStyle w:val="ListParagraph"/>
        <w:numPr>
          <w:ilvl w:val="0"/>
          <w:numId w:val="1"/>
        </w:numPr>
        <w:spacing w:after="100"/>
        <w:jc w:val="both"/>
      </w:pPr>
      <w:r>
        <w:rPr>
          <w:sz w:val="22"/>
          <w:szCs w:val="22"/>
        </w:rPr>
        <w:t xml:space="preserve">Caso 3 — Mesmas condições do Caso 2 (8h/dia, seg-sex, 99% de disponibilidade, interrupção máxima de 30 minutos), mas o cliente não possui processo de gestão de eventos (monitoramento proativo), apenas um processo reativo de gestão de incidentes baseado em reclamações dos usuários. Não houve nenhum chamado registrado no mês, mas o link ficou indisponível por 2 horas no total, voltando a operar sozinho, sem intervenção da equipe de TI. Resultado aparente: como não há nenhum chamado registrado, tudo indica SLA cumprido. Resultado real: o SLA foi violado — 2 horas de indisponibilidade superam a 1h36 tolerada —, mas essa violação nunca chega a ser formalmente constatada, porque, na ausência de um processo de gestão de eventos (monitoramento contínuo e automatizado), a organização depende inteiramente de que algum usuário perceba o problema e abra um chamado, o que nem sempre acontece — sobretudo em falhas breves e autorresolvidas. O maior prejudicado é o próprio cliente, que sofreu a indisponibilidade, mas não tem como reivindicar formalmente o ressarcimento por falta de registro. O motivo de fundo escancara a importância da observabilidade discutida na Seção 6.1: um indicador só existe, na prática, se houver uma fonte de dados confiável e automatizada para sustentá-lo — sem ela, mesmo uma violação real de SLA pode passar completamente despercebida.</w:t>
      </w:r>
    </w:p>
    <w:p>
      <w:pPr>
        <w:pStyle w:val="Heading2"/>
        <w:spacing w:after="120" w:before="260"/>
      </w:pPr>
      <w:r>
        <w:rPr>
          <w:b/>
          <w:bCs/>
          <w:i/>
          <w:iCs/>
          <w:color w:val="2E74B5"/>
          <w:sz w:val="24"/>
          <w:szCs w:val="24"/>
        </w:rPr>
        <w:t xml:space="preserve">5.8 Alta disponibilidade e eliminação de pontos únicos de falha (SPOF)</w:t>
      </w:r>
    </w:p>
    <w:p>
      <w:pPr>
        <w:spacing w:after="200" w:line="276"/>
        <w:jc w:val="both"/>
      </w:pPr>
      <w:r>
        <w:rPr>
          <w:sz w:val="22"/>
          <w:szCs w:val="22"/>
        </w:rPr>
        <w:t xml:space="preserve">Alta disponibilidade (High Availability) consiste em projetar sistemas para permanecerem operacionais mesmo diante de falhas, apoiando-se em cinco princípios: redundância, eliminação de pontos únicos de falha, failover automático, monitoramento contínuo e recuperação rápida. Um ponto único de falha (Single Point of Failure — SPOF) é qualquer componente cuja falha isolada é capaz de interromper todo o sistema — um único servidor, um único banco de dados, um único link de internet ou um único balanceador de carga, por exemplo —, e sua eliminação é um dos principais objetivos da arquitetura em nuvem.</w:t>
      </w:r>
    </w:p>
    <w:p>
      <w:pPr>
        <w:spacing w:after="200" w:line="276"/>
        <w:jc w:val="both"/>
      </w:pPr>
      <w:r>
        <w:rPr>
          <w:sz w:val="22"/>
          <w:szCs w:val="22"/>
        </w:rPr>
        <w:t xml:space="preserve">Uma arquitetura típica de alta disponibilidade combina múltiplas instâncias de servidor (idealmente distribuídas por diferentes zonas de disponibilidade) atrás de um balanceador de carga, que deixa de encaminhar requisições a qualquer instância que apresente falha; bancos de dados replicados, com um nó primário e um ou mais nós secundários que assumem a operação em caso de falha do primário; e uma rotina de backup automático, que — embora não deva ser confundida com alta disponibilidade, pois não restaura o serviço na mesma velocidade — garante a recuperação dos dados em caso de perda. É importante notar que, nessa própria arquitetura, o balanceador de carga pode se tornar, ele mesmo, um novo ponto único de falha, caso não seja também redundante — o que reforça que a eliminação de SPOFs é um exercício contínuo de análise, e não algo que se resolve de uma só vez. A computação em nuvem facilita esse tipo de arquitetura: em vez de provisionar antecipadamente dezenas de servidores como se faria em um ambiente tradicional, é possível manter o mínimo necessário e, se uma instância falhar, simplesmente provisionar automaticamente uma nova em seu lugar.</w:t>
      </w:r>
    </w:p>
    <w:p>
      <w:pPr>
        <w:pStyle w:val="Heading2"/>
        <w:spacing w:after="120" w:before="260"/>
      </w:pPr>
      <w:r>
        <w:rPr>
          <w:b/>
          <w:bCs/>
          <w:i/>
          <w:iCs/>
          <w:color w:val="2E74B5"/>
          <w:sz w:val="24"/>
          <w:szCs w:val="24"/>
        </w:rPr>
        <w:t xml:space="preserve">5.9 Balanceamento de carga: algoritmos</w:t>
      </w:r>
    </w:p>
    <w:p>
      <w:pPr>
        <w:spacing w:after="200" w:line="276"/>
        <w:jc w:val="both"/>
      </w:pPr>
      <w:r>
        <w:rPr>
          <w:sz w:val="22"/>
          <w:szCs w:val="22"/>
        </w:rPr>
        <w:t xml:space="preserve">O balanceador de carga pode operar na camada de transporte (camada 4 do modelo OSI, olhando o tráfego TCP) — modelo mais comum entre os provedores — ou na camada de aplicação (camada 7), mais sofisticada, mas menos disponível entre os provedores. Independentemente da camada, ele verifica periodicamente a saúde de cada instância (health checks) e para de encaminhar tráfego a qualquer servidor que não esteja respondendo, voltando a incluí-lo no grupo assim que ele se recuperar. Cinco algoritmos são particularmente relevantes: o round robin distribui as requisições sequencialmente entre todos os servidores disponíveis, de forma simples e eficaz quando as instâncias têm capacidades semelhantes; o least connections direciona cada nova requisição ao servidor com o menor número de conexões ativas no momento, favorecendo aplicações com conexões de duração variável; o least response time encaminha a requisição ao servidor com menor tempo de resposta histórico, sendo especialmente relevante quando os servidores estão fisicamente distantes entre si (por exemplo, um no Brasil e outro no Japão) e a aplicação exige baixa latência; o IP hash direciona sempre o mesmo cliente para o mesmo servidor, com base em seu endereço IP, criando uma persistência de sessão (session affinity ou sticky sessions) útil quando há cache ou estado local no servidor; e o weighted round robin atribui um peso a cada servidor, de modo que instâncias mais potentes recebam proporcionalmente mais requisições do que instâncias mais modestas. Não existe um algoritmo universalmente melhor: a escolha depende do caso de uso e do perfil da aplicação.</w:t>
      </w:r>
    </w:p>
    <w:p>
      <w:pPr>
        <w:pStyle w:val="Heading2"/>
        <w:spacing w:after="120" w:before="260"/>
      </w:pPr>
      <w:r>
        <w:rPr>
          <w:b/>
          <w:bCs/>
          <w:i/>
          <w:iCs/>
          <w:color w:val="2E74B5"/>
          <w:sz w:val="24"/>
          <w:szCs w:val="24"/>
        </w:rPr>
        <w:t xml:space="preserve">5.10 Auto scaling: elasticidade sob demanda</w:t>
      </w:r>
    </w:p>
    <w:p>
      <w:pPr>
        <w:spacing w:after="200" w:line="276"/>
        <w:jc w:val="both"/>
      </w:pPr>
      <w:r>
        <w:rPr>
          <w:sz w:val="22"/>
          <w:szCs w:val="22"/>
        </w:rPr>
        <w:t xml:space="preserve">O auto scaling é a técnica de adicionar ou remover servidores automaticamente conforme a demanda — a implementação prática da elasticidade horizontal discutida na Seção 3 —, com o objetivo de manter a disponibilidade, reduzir custos e preservar o desempenho. Seu funcionamento se baseia em um gatilho (trigger): uma métrica monitorada, como consumo de memória, de CPU ou volume de requisições de rede, que, ao ultrapassar um limiar definido (por exemplo, 90% de uso de memória), aciona o provisionamento de uma nova instância. É importante considerar o tempo de provisionamento dessa nova instância ao definir o limiar do gatilho: se ele for definido próximo demais de 100%, a instância original pode saturar antes que a nova entre em operação — por isso, esse limiar costuma ser calibrado com base no tempo histórico observado entre um determinado percentual de uso e a saturação total do recurso.</w:t>
      </w:r>
    </w:p>
    <w:p>
      <w:pPr>
        <w:spacing w:after="200" w:line="276"/>
        <w:jc w:val="both"/>
      </w:pPr>
      <w:r>
        <w:rPr>
          <w:sz w:val="22"/>
          <w:szCs w:val="22"/>
        </w:rPr>
        <w:t xml:space="preserve">O acionamento pode ocorrer de forma proativa (quando se sabe, de antemão, que uma campanha promocional ou evento específico vai gerar um pico de acesso em horário determinado, programando a elasticidade previamente) ou reativa (quando o gatilho é acionado apenas ao ser atingido, sem previsão prévia); e pode ser automático (a nova instância é criada sem intervenção humana) ou manual (o sistema apenas alerta um responsável, que decide se aciona o provisionamento). Um ponto de atenção especialmente relevante do auto scaling horizontal é a ausência de um limite máximo de escalonamento: sem esse limite, um pico de acesso legítimo ou mesmo um ataque cibernético simulando múltiplos usuários pode levar o ambiente a escalonar dezenas ou centenas de servidores desnecessários antes que o problema seja identificado, gerando uma cobrança elevada — por isso, a maioria dos provedores permite configurar um teto máximo de instâncias (reforçando o ponto já levantado na Seção 3.13 sobre segurança de rede). O auto scaling horizontal depende, fundamentalmente, da existência de um balanceador de carga; já o auto scaling vertical — mais simples de gerenciar e mais rápido, pois a aplicação não precisa reconhecer uma nova máquina, apenas mais recursos na mesma máquina — não exige balanceador, ainda que também tenha limites físicos de quanto uma única instância pode crescer. Na prática, é comum combinar as duas abordagens.</w:t>
      </w:r>
    </w:p>
    <w:p>
      <w:pPr>
        <w:pStyle w:val="Heading2"/>
        <w:spacing w:after="120" w:before="260"/>
      </w:pPr>
      <w:r>
        <w:rPr>
          <w:b/>
          <w:bCs/>
          <w:i/>
          <w:iCs/>
          <w:color w:val="2E74B5"/>
          <w:sz w:val="24"/>
          <w:szCs w:val="24"/>
        </w:rPr>
        <w:t xml:space="preserve">5.11 CDN e Global Server Load Balancing (GSLB)</w:t>
      </w:r>
    </w:p>
    <w:p>
      <w:pPr>
        <w:spacing w:after="200" w:line="276"/>
        <w:jc w:val="both"/>
      </w:pPr>
      <w:r>
        <w:rPr>
          <w:sz w:val="22"/>
          <w:szCs w:val="22"/>
        </w:rPr>
        <w:t xml:space="preserve">Uma Content Delivery Network (CDN) é uma rede mundial de servidores utilizada para aproximar fisicamente o conteúdo dos usuários finais, reduzindo a necessidade de transferir repetidamente os mesmos dados por longas distâncias de rede; entre seus benefícios estão menor latência, maior velocidade de entrega, redução de carga na origem e melhor experiência do usuário — sendo especialmente útil quando um grande volume de usuários de uma mesma região acessa o mesmo conteúdo. Já o Global Server Load Balancing (GSLB) é um balanceamento em um nível acima do balanceador tradicional: em vez de distribuir requisições entre servidores dentro de um mesmo data center, ele distribui requisições entre diferentes data centers ou regiões, considerando critérios como menor latência, proximidade geográfica, disponibilidade e carga de cada data center. Um GSLB pode ser configurado para direcionar preferencialmente todo o tráfego a um data center principal e, em caso de falha ou contingência, redirecionar automaticamente o tráfego para outro — funcionando, na prática, como um "balanceador de balanceadores". Assim como os demais componentes de rede desta seção, tanto a CDN quanto o GSLB representam custo adicional, e sua adoção deve ser ponderada conforme a criticidade da aplicação.</w:t>
      </w:r>
    </w:p>
    <w:p>
      <w:pPr>
        <w:pStyle w:val="Heading2"/>
        <w:spacing w:after="120" w:before="260"/>
      </w:pPr>
      <w:r>
        <w:rPr>
          <w:b/>
          <w:bCs/>
          <w:i/>
          <w:iCs/>
          <w:color w:val="2E74B5"/>
          <w:sz w:val="24"/>
          <w:szCs w:val="24"/>
        </w:rPr>
        <w:t xml:space="preserve">5.12 Disaster Recovery (DR)</w:t>
      </w:r>
    </w:p>
    <w:p>
      <w:pPr>
        <w:spacing w:after="200" w:line="276"/>
        <w:jc w:val="both"/>
      </w:pPr>
      <w:r>
        <w:rPr>
          <w:sz w:val="22"/>
          <w:szCs w:val="22"/>
        </w:rPr>
        <w:t xml:space="preserve">Disaster Recovery refere-se ao conjunto de estratégias que uma organização adota para restabelecer seus serviços após um desastre que afete seu site (ou data center) primário. Duas métricas centrais orientam essa escolha: o RTO (Recovery Time Objective), o tempo máximo aceitável para restaurar o serviço, e o RPO (Recovery Point Objective), a quantidade máxima de dados que a organização admite perder. O quadro a seguir resume as quatro estratégias mais comuns, dispostas da mais simples e barata à mais robusta e cara.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50"/>
        <w:gridCol w:w="1900"/>
        <w:gridCol w:w="2700"/>
      </w:tblGrid>
      <w:tr>
        <w:trPr>
          <w:tblHeader/>
        </w:trPr>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Estratégia</w:t>
            </w:r>
          </w:p>
        </w:tc>
        <w:tc>
          <w:tcPr>
            <w:tcW w:type="dxa" w:w="2350"/>
            <w:shd w:fill="1F3864" w:val="clear"/>
            <w:tcMar>
              <w:top w:type="dxa" w:w="100"/>
              <w:left w:type="dxa" w:w="120"/>
              <w:bottom w:type="dxa" w:w="100"/>
              <w:right w:type="dxa" w:w="120"/>
            </w:tcMar>
            <w:vAlign w:val="center"/>
          </w:tcPr>
          <w:p>
            <w:pPr>
              <w:jc w:val="left"/>
            </w:pPr>
            <w:r>
              <w:rPr>
                <w:b/>
                <w:bCs/>
                <w:color w:val="FFFFFF"/>
                <w:sz w:val="19"/>
                <w:szCs w:val="19"/>
              </w:rPr>
              <w:t xml:space="preserve">RTO aproximado</w:t>
            </w:r>
          </w:p>
        </w:tc>
        <w:tc>
          <w:tcPr>
            <w:tcW w:type="dxa" w:w="1900"/>
            <w:shd w:fill="1F3864" w:val="clear"/>
            <w:tcMar>
              <w:top w:type="dxa" w:w="100"/>
              <w:left w:type="dxa" w:w="120"/>
              <w:bottom w:type="dxa" w:w="100"/>
              <w:right w:type="dxa" w:w="120"/>
            </w:tcMar>
            <w:vAlign w:val="center"/>
          </w:tcPr>
          <w:p>
            <w:pPr>
              <w:jc w:val="left"/>
            </w:pPr>
            <w:r>
              <w:rPr>
                <w:b/>
                <w:bCs/>
                <w:color w:val="FFFFFF"/>
                <w:sz w:val="19"/>
                <w:szCs w:val="19"/>
              </w:rPr>
              <w:t xml:space="preserve">Custo relativo</w:t>
            </w:r>
          </w:p>
        </w:tc>
        <w:tc>
          <w:tcPr>
            <w:tcW w:type="dxa" w:w="2700"/>
            <w:shd w:fill="1F3864" w:val="clear"/>
            <w:tcMar>
              <w:top w:type="dxa" w:w="100"/>
              <w:left w:type="dxa" w:w="120"/>
              <w:bottom w:type="dxa" w:w="100"/>
              <w:right w:type="dxa" w:w="120"/>
            </w:tcMar>
            <w:vAlign w:val="center"/>
          </w:tcPr>
          <w:p>
            <w:pPr>
              <w:jc w:val="left"/>
            </w:pPr>
            <w:r>
              <w:rPr>
                <w:b/>
                <w:bCs/>
                <w:color w:val="FFFFFF"/>
                <w:sz w:val="19"/>
                <w:szCs w:val="19"/>
              </w:rPr>
              <w:t xml:space="preserve">Caso de uso típico</w:t>
            </w:r>
          </w:p>
        </w:tc>
      </w:tr>
      <w:tr>
        <w:tc>
          <w:tcPr>
            <w:tcW w:type="dxa" w:w="2400"/>
            <w:tcMar>
              <w:top w:type="dxa" w:w="100"/>
              <w:left w:type="dxa" w:w="120"/>
              <w:bottom w:type="dxa" w:w="100"/>
              <w:right w:type="dxa" w:w="120"/>
            </w:tcMar>
            <w:vAlign w:val="center"/>
          </w:tcPr>
          <w:p>
            <w:pPr>
              <w:jc w:val="left"/>
            </w:pPr>
            <w:r>
              <w:rPr>
                <w:b w:val="false"/>
                <w:bCs w:val="false"/>
                <w:color w:val="000000"/>
                <w:sz w:val="19"/>
                <w:szCs w:val="19"/>
              </w:rPr>
              <w:t xml:space="preserve">Backup &amp; Restore</w:t>
            </w:r>
          </w:p>
        </w:tc>
        <w:tc>
          <w:tcPr>
            <w:tcW w:type="dxa" w:w="2350"/>
            <w:tcMar>
              <w:top w:type="dxa" w:w="100"/>
              <w:left w:type="dxa" w:w="120"/>
              <w:bottom w:type="dxa" w:w="100"/>
              <w:right w:type="dxa" w:w="120"/>
            </w:tcMar>
            <w:vAlign w:val="center"/>
          </w:tcPr>
          <w:p>
            <w:pPr>
              <w:jc w:val="left"/>
            </w:pPr>
            <w:r>
              <w:rPr>
                <w:b w:val="false"/>
                <w:bCs w:val="false"/>
                <w:color w:val="000000"/>
                <w:sz w:val="19"/>
                <w:szCs w:val="19"/>
              </w:rPr>
              <w:t xml:space="preserve">Horas a dias</w:t>
            </w:r>
          </w:p>
        </w:tc>
        <w:tc>
          <w:tcPr>
            <w:tcW w:type="dxa" w:w="1900"/>
            <w:tcMar>
              <w:top w:type="dxa" w:w="100"/>
              <w:left w:type="dxa" w:w="120"/>
              <w:bottom w:type="dxa" w:w="100"/>
              <w:right w:type="dxa" w:w="120"/>
            </w:tcMar>
            <w:vAlign w:val="center"/>
          </w:tcPr>
          <w:p>
            <w:pPr>
              <w:jc w:val="left"/>
            </w:pPr>
            <w:r>
              <w:rPr>
                <w:b w:val="false"/>
                <w:bCs w:val="false"/>
                <w:color w:val="000000"/>
                <w:sz w:val="19"/>
                <w:szCs w:val="19"/>
              </w:rPr>
              <w:t xml:space="preserve">Baixo</w:t>
            </w:r>
          </w:p>
        </w:tc>
        <w:tc>
          <w:tcPr>
            <w:tcW w:type="dxa" w:w="2700"/>
            <w:tcMar>
              <w:top w:type="dxa" w:w="100"/>
              <w:left w:type="dxa" w:w="120"/>
              <w:bottom w:type="dxa" w:w="100"/>
              <w:right w:type="dxa" w:w="120"/>
            </w:tcMar>
            <w:vAlign w:val="center"/>
          </w:tcPr>
          <w:p>
            <w:pPr>
              <w:jc w:val="left"/>
            </w:pPr>
            <w:r>
              <w:rPr>
                <w:b w:val="false"/>
                <w:bCs w:val="false"/>
                <w:color w:val="000000"/>
                <w:sz w:val="19"/>
                <w:szCs w:val="19"/>
              </w:rPr>
              <w:t xml:space="preserve">Dados não críticos, ambientes de teste, orçamento limitado</w:t>
            </w:r>
          </w:p>
        </w:tc>
      </w:tr>
      <w:tr>
        <w:tc>
          <w:tcPr>
            <w:tcW w:type="dxa" w:w="24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Pilot Light</w:t>
            </w:r>
          </w:p>
        </w:tc>
        <w:tc>
          <w:tcPr>
            <w:tcW w:type="dxa" w:w="23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Dezenas de minutos a horas</w:t>
            </w:r>
          </w:p>
        </w:tc>
        <w:tc>
          <w:tcPr>
            <w:tcW w:type="dxa" w:w="19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Médio-baixo</w:t>
            </w:r>
          </w:p>
        </w:tc>
        <w:tc>
          <w:tcPr>
            <w:tcW w:type="dxa" w:w="27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Aplicações importantes, com alguma tolerância a indisponibilidade</w:t>
            </w:r>
          </w:p>
        </w:tc>
      </w:tr>
      <w:tr>
        <w:tc>
          <w:tcPr>
            <w:tcW w:type="dxa" w:w="2400"/>
            <w:tcMar>
              <w:top w:type="dxa" w:w="100"/>
              <w:left w:type="dxa" w:w="120"/>
              <w:bottom w:type="dxa" w:w="100"/>
              <w:right w:type="dxa" w:w="120"/>
            </w:tcMar>
            <w:vAlign w:val="center"/>
          </w:tcPr>
          <w:p>
            <w:pPr>
              <w:jc w:val="left"/>
            </w:pPr>
            <w:r>
              <w:rPr>
                <w:b w:val="false"/>
                <w:bCs w:val="false"/>
                <w:color w:val="000000"/>
                <w:sz w:val="19"/>
                <w:szCs w:val="19"/>
              </w:rPr>
              <w:t xml:space="preserve">Warm Standby</w:t>
            </w:r>
          </w:p>
        </w:tc>
        <w:tc>
          <w:tcPr>
            <w:tcW w:type="dxa" w:w="2350"/>
            <w:tcMar>
              <w:top w:type="dxa" w:w="100"/>
              <w:left w:type="dxa" w:w="120"/>
              <w:bottom w:type="dxa" w:w="100"/>
              <w:right w:type="dxa" w:w="120"/>
            </w:tcMar>
            <w:vAlign w:val="center"/>
          </w:tcPr>
          <w:p>
            <w:pPr>
              <w:jc w:val="left"/>
            </w:pPr>
            <w:r>
              <w:rPr>
                <w:b w:val="false"/>
                <w:bCs w:val="false"/>
                <w:color w:val="000000"/>
                <w:sz w:val="19"/>
                <w:szCs w:val="19"/>
              </w:rPr>
              <w:t xml:space="preserve">Minutos</w:t>
            </w:r>
          </w:p>
        </w:tc>
        <w:tc>
          <w:tcPr>
            <w:tcW w:type="dxa" w:w="1900"/>
            <w:tcMar>
              <w:top w:type="dxa" w:w="100"/>
              <w:left w:type="dxa" w:w="120"/>
              <w:bottom w:type="dxa" w:w="100"/>
              <w:right w:type="dxa" w:w="120"/>
            </w:tcMar>
            <w:vAlign w:val="center"/>
          </w:tcPr>
          <w:p>
            <w:pPr>
              <w:jc w:val="left"/>
            </w:pPr>
            <w:r>
              <w:rPr>
                <w:b w:val="false"/>
                <w:bCs w:val="false"/>
                <w:color w:val="000000"/>
                <w:sz w:val="19"/>
                <w:szCs w:val="19"/>
              </w:rPr>
              <w:t xml:space="preserve">Médio-alto</w:t>
            </w:r>
          </w:p>
        </w:tc>
        <w:tc>
          <w:tcPr>
            <w:tcW w:type="dxa" w:w="2700"/>
            <w:tcMar>
              <w:top w:type="dxa" w:w="100"/>
              <w:left w:type="dxa" w:w="120"/>
              <w:bottom w:type="dxa" w:w="100"/>
              <w:right w:type="dxa" w:w="120"/>
            </w:tcMar>
            <w:vAlign w:val="center"/>
          </w:tcPr>
          <w:p>
            <w:pPr>
              <w:jc w:val="left"/>
            </w:pPr>
            <w:r>
              <w:rPr>
                <w:b w:val="false"/>
                <w:bCs w:val="false"/>
                <w:color w:val="000000"/>
                <w:sz w:val="19"/>
                <w:szCs w:val="19"/>
              </w:rPr>
              <w:t xml:space="preserve">Aplicações críticas que toleram breve indisponibilidade</w:t>
            </w:r>
          </w:p>
        </w:tc>
      </w:tr>
      <w:tr>
        <w:tc>
          <w:tcPr>
            <w:tcW w:type="dxa" w:w="24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Active/Active</w:t>
            </w:r>
          </w:p>
        </w:tc>
        <w:tc>
          <w:tcPr>
            <w:tcW w:type="dxa" w:w="23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Segundos a minutos</w:t>
            </w:r>
          </w:p>
        </w:tc>
        <w:tc>
          <w:tcPr>
            <w:tcW w:type="dxa" w:w="19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Alto</w:t>
            </w:r>
          </w:p>
        </w:tc>
        <w:tc>
          <w:tcPr>
            <w:tcW w:type="dxa" w:w="27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Aplicações críticas globais: bancos, e-commerce, serviços 24x7</w:t>
            </w:r>
          </w:p>
        </w:tc>
      </w:tr>
    </w:tbl>
    <w:p>
      <w:pPr>
        <w:spacing w:after="200"/>
      </w:pPr>
    </w:p>
    <w:p>
      <w:pPr>
        <w:spacing w:after="200" w:line="276"/>
        <w:jc w:val="both"/>
      </w:pPr>
      <w:r>
        <w:rPr>
          <w:sz w:val="22"/>
          <w:szCs w:val="22"/>
        </w:rPr>
        <w:t xml:space="preserve">No Backup &amp; Restore, os dados são copiados periodicamente para o site de recuperação, e em caso de desastre a infraestrutura e as aplicações precisam ser recriadas antes de restaurar os dados — daí o tempo de recuperação mais longo. No Pilot Light, mantém-se uma infraestrutura mínima já pronta no site de recuperação (rede, armazenamento e alguns servidores), com replicação contínua dos dados, de modo que, em caso de falha, seja necessário apenas provisionar e escalar os demais recursos. No Warm Standby, o site de recuperação já mantém um ambiente completo, porém em capacidade reduzida, que é escalado rapidamente para assumir a operação integral em caso de falha. No modelo Active/Active, dois ou mais sites permanecem simultaneamente ativos, com um GSLB distribuindo a carga entre eles e replicação constante dos dados, de forma que a falha de um deles seja praticamente imperceptível para o usuário final — ao custo de manter, essencialmente, o dobro (ou mais) da infraestrutura necessária para atender à mesma base de clientes, já que cada site precisa ter capacidade de absorver sozinho toda a demanda em caso de falha do outro. É importante frisar que a necessidade de disaster recovery não é exclusiva da nuvem: computação tradicional também pode (e muitas vezes precisa) implementar essas mesmas estratégias, ainda que com maior custo e complexidade de implementação; a nuvem tende a facilitar e baratear o acesso a esses recursos, sobretudo para organizações de menor porte, mas a decisão de qual estratégia adotar para cada aplicação permanece sendo, fundamentalmente, uma ponderação entre custo e criticidade do negócio.</w:t>
      </w:r>
    </w:p>
    <w:p>
      <w:pPr>
        <w:pStyle w:val="Heading2"/>
        <w:spacing w:after="120" w:before="260"/>
      </w:pPr>
      <w:r>
        <w:rPr>
          <w:b/>
          <w:bCs/>
          <w:i/>
          <w:iCs/>
          <w:color w:val="2E74B5"/>
          <w:sz w:val="24"/>
          <w:szCs w:val="24"/>
        </w:rPr>
        <w:t xml:space="preserve">5.13 Desafios para definição e cumprimento de SLAs</w:t>
      </w:r>
    </w:p>
    <w:p>
      <w:pPr>
        <w:pStyle w:val="ListParagraph"/>
        <w:numPr>
          <w:ilvl w:val="0"/>
          <w:numId w:val="1"/>
        </w:numPr>
        <w:spacing w:after="100"/>
        <w:jc w:val="both"/>
      </w:pPr>
      <w:r>
        <w:rPr>
          <w:sz w:val="22"/>
          <w:szCs w:val="22"/>
        </w:rPr>
        <w:t xml:space="preserve">Ambientes distribuídos e multi-tenant: uma falha em um único componente compartilhado (ex.: um serviço de armazenamento ou uma zona de disponibilidade) pode afetar diversos clientes simultaneamente, dificultando o isolamento de causas.</w:t>
      </w:r>
    </w:p>
    <w:p>
      <w:pPr>
        <w:pStyle w:val="ListParagraph"/>
        <w:numPr>
          <w:ilvl w:val="0"/>
          <w:numId w:val="1"/>
        </w:numPr>
        <w:spacing w:after="100"/>
        <w:jc w:val="both"/>
      </w:pPr>
      <w:r>
        <w:rPr>
          <w:sz w:val="22"/>
          <w:szCs w:val="22"/>
        </w:rPr>
        <w:t xml:space="preserve">Cadeias de dependência: aplicações modernas, baseadas em microsserviços, dependem de múltiplos serviços de terceiros (bancos de dados gerenciados, filas, CDNs, APIs externas), cada um com seu próprio SLA — o SLA composto da aplicação é, na prática, limitado pelo elo mais fraco dessa cadeia.</w:t>
      </w:r>
    </w:p>
    <w:p>
      <w:pPr>
        <w:pStyle w:val="ListParagraph"/>
        <w:numPr>
          <w:ilvl w:val="0"/>
          <w:numId w:val="1"/>
        </w:numPr>
        <w:spacing w:after="100"/>
        <w:jc w:val="both"/>
      </w:pPr>
      <w:r>
        <w:rPr>
          <w:sz w:val="22"/>
          <w:szCs w:val="22"/>
        </w:rPr>
        <w:t xml:space="preserve">Responsabilidade compartilhada: em modelos IaaS/PaaS/SaaS, é preciso delimitar com precisão qual parcela da indisponibilidade é responsabilidade do provedor de nuvem e qual é responsabilidade da aplicação do próprio cliente.</w:t>
      </w:r>
    </w:p>
    <w:p>
      <w:pPr>
        <w:pStyle w:val="ListParagraph"/>
        <w:numPr>
          <w:ilvl w:val="0"/>
          <w:numId w:val="1"/>
        </w:numPr>
        <w:spacing w:after="100"/>
        <w:jc w:val="both"/>
      </w:pPr>
      <w:r>
        <w:rPr>
          <w:sz w:val="22"/>
          <w:szCs w:val="22"/>
        </w:rPr>
        <w:t xml:space="preserve">Dificuldade de monitoramento em escala: medir disponibilidade e desempenho de forma confiável exige investimento em observabilidade (métricas, logs e tracing distribuído), especialmente à medida que o número de microsserviços cresce.</w:t>
      </w:r>
    </w:p>
    <w:p>
      <w:pPr>
        <w:pStyle w:val="ListParagraph"/>
        <w:numPr>
          <w:ilvl w:val="0"/>
          <w:numId w:val="1"/>
        </w:numPr>
        <w:spacing w:after="100"/>
        <w:jc w:val="both"/>
      </w:pPr>
      <w:r>
        <w:rPr>
          <w:sz w:val="22"/>
          <w:szCs w:val="22"/>
        </w:rPr>
        <w:t xml:space="preserve">Definição de métricas adequadas ao negócio: nem sempre a disponibilidade pura (uptime) reflete a experiência real do usuário; métricas centradas no usuário (como latência percebida ou taxa de erro por transação de negócio) costumam ser mais representativas, porém mais difíceis de instrumentar.</w:t>
      </w:r>
    </w:p>
    <w:p>
      <w:pPr>
        <w:spacing w:after="200" w:line="276"/>
        <w:jc w:val="both"/>
      </w:pPr>
      <w:r>
        <w:rPr>
          <w:sz w:val="22"/>
          <w:szCs w:val="22"/>
        </w:rPr>
        <w:t xml:space="preserve">Na prática de mercado, provedores como AWS, Azure e Google Cloud costumam oferecer níveis contratuais de disponibilidade mensal — por exemplo, 99,9% (equivalente a cerca de 43 minutos de indisponibilidade tolerada por mês), 99,95% ou 99,99% — cada nível adicional de "nove" exigindo investimentos exponencialmente maiores em redundância, replicação geográfica e automação de recuperação de falhas.</w:t>
      </w:r>
    </w:p>
    <w:p>
      <w:pPr>
        <w:pStyle w:val="Heading1"/>
        <w:spacing w:after="200" w:before="400"/>
      </w:pPr>
      <w:r>
        <w:rPr>
          <w:b/>
          <w:bCs/>
          <w:color w:val="1F3864"/>
          <w:sz w:val="28"/>
          <w:szCs w:val="28"/>
        </w:rPr>
        <w:t xml:space="preserve">6. SOLUÇÕES E TENDÊNCIAS NA COMPUTAÇÃO EM NUVEM</w:t>
      </w:r>
    </w:p>
    <w:p>
      <w:pPr>
        <w:pStyle w:val="Heading2"/>
        <w:spacing w:after="120" w:before="260"/>
      </w:pPr>
      <w:r>
        <w:rPr>
          <w:b/>
          <w:bCs/>
          <w:i/>
          <w:iCs/>
          <w:color w:val="2E74B5"/>
          <w:sz w:val="24"/>
          <w:szCs w:val="24"/>
        </w:rPr>
        <w:t xml:space="preserve">6.1 Observabilidade</w:t>
      </w:r>
    </w:p>
    <w:p>
      <w:pPr>
        <w:spacing w:after="200" w:line="276"/>
        <w:jc w:val="both"/>
      </w:pPr>
      <w:r>
        <w:rPr>
          <w:sz w:val="22"/>
          <w:szCs w:val="22"/>
        </w:rPr>
        <w:t xml:space="preserve">Monitoração e observabilidade são conceitos próximos, mas não equivalentes. A monitoração informa que existe um problema: por exemplo, ao acompanhar o consumo de CPU de um servidor, ela dispara um alerta assim que esse consumo ultrapassa um limiar definido, como 95%. A observabilidade vai além — é a capacidade de compreender o estado interno de um sistema a partir das informações geradas durante sua execução, ajudando a descobrir a causa raiz do problema, e não apenas constatar sua existência. Ambas continuam necessárias: a observabilidade não substitui a monitoração, mas complementa e enriquece a análise, permitindo detectar falhas mais rapidamente, identificar gargalos, diagnosticar problemas, medir desempenho e melhorar a confiabilidade — sendo esta última um conceito mais amplo do que a disponibilidade tratada na Seção 5: um sistema pode estar disponível e, ainda assim, pouco confiável, se responder de forma lenta ou inconsistente.</w:t>
      </w:r>
    </w:p>
    <w:p>
      <w:pPr>
        <w:spacing w:after="200" w:line="276"/>
        <w:jc w:val="both"/>
      </w:pPr>
      <w:r>
        <w:rPr>
          <w:sz w:val="22"/>
          <w:szCs w:val="22"/>
        </w:rPr>
        <w:t xml:space="preserve">A observabilidade se apoia em três pilares complementares. Os logs registram o que aconteceu — eventos discretos gerados por aplicações, sistemas e infraestrutura —, podendo ser logs de aplicação (mais técnicos, como falhas de acesso a um arquivo) ou logs de auditoria (mais completos, voltados a segurança e compliance, registrando quem fez o quê e quando). As métricas são dados numéricos agregados ao longo do tempo (uso de CPU e memória, taxa de requisições, latência), que revelam tendências e o comportamento do sistema em uma série histórica. E os traces rastreiam o caminho completo de uma requisição através de múltiplos serviços e componentes — de forma similar a um comando de rastreamento de rede —, respondendo como uma requisição flui e onde ela eventualmente falha ou se atrasa. Juntos, esses três pilares oferecem visão completa do sistema, detecção mais rápida de problemas e análise profunda de causa raiz.</w:t>
      </w:r>
    </w:p>
    <w:p>
      <w:pPr>
        <w:spacing w:after="200" w:line="276"/>
        <w:jc w:val="both"/>
      </w:pPr>
      <w:r>
        <w:rPr>
          <w:sz w:val="22"/>
          <w:szCs w:val="22"/>
        </w:rPr>
        <w:t xml:space="preserve">Entre as ferramentas mais utilizadas para observabilidade estão o OpenTelemetry, o Prometheus (coleta e séries temporais de métricas), o Grafana (visualização, tipicamente em painéis com gráficos de série temporal), o Elastic Stack (ELK), o Jaeger e o Zipkin (rastreamento distribuído), além de soluções nativas dos provedores, como o CloudWatch (AWS), o Azure Monitor e o Google Cloud Operations Suite. Uma arquitetura observável típica coleta logs, métricas e traces de todas as aplicações distribuídas, armazena e correlaciona esses dados em uma plataforma de observabilidade, gera visualizações (dashboards) e aciona alertas por e-mail, SMS ou mensageria instantânea, direcionando-os a uma equipe de operações responsável por investigar a causa e agir — em alguns casos, de forma automatizada, por meio de autorremediação (self-healing), embora essa automação completa ainda seja difícil de implementar na maioria dos cenários reais. É importante ressaltar que implementar observabilidade não é trivial: um erro comum é coletar uma quantidade excessiva de dados sem direcionamento, gerando painéis visualmente elaborados, mas que não geram nenhuma ação prática — a escolha de quais métricas, logs e traces realmente importam exige conhecimento profundo da aplicação. Esse conjunto de práticas é também associado à disciplina de Engenharia de Confiabilidade de Sítio (Site Reliability Engineering — SRE), desenvolvida originalmente pelo Google e cada vez mais adotada pelas organizações para aumentar a confiabilidade de seus produtos.</w:t>
      </w:r>
    </w:p>
    <w:p>
      <w:pPr>
        <w:pStyle w:val="Heading2"/>
        <w:spacing w:after="120" w:before="260"/>
      </w:pPr>
      <w:r>
        <w:rPr>
          <w:b/>
          <w:bCs/>
          <w:i/>
          <w:iCs/>
          <w:color w:val="2E74B5"/>
          <w:sz w:val="24"/>
          <w:szCs w:val="24"/>
        </w:rPr>
        <w:t xml:space="preserve">6.2 Custos na computação em nuvem e modelos de cobrança</w:t>
      </w:r>
    </w:p>
    <w:p>
      <w:pPr>
        <w:spacing w:after="200" w:line="276"/>
        <w:jc w:val="both"/>
      </w:pPr>
      <w:r>
        <w:rPr>
          <w:sz w:val="22"/>
          <w:szCs w:val="22"/>
        </w:rPr>
        <w:t xml:space="preserve">Praticamente todo componente consumido na nuvem é cobrado — computação, armazenamento, rede, banco de dados, licenciamento, transferência de dados e serviços gerenciados —, de forma análoga ao aluguel de um carro, em que cada acessório adicional (seguro, cadeirinha, condutor extra) é tarifado à parte. Isso retoma uma discussão já levantada nas Seções 3.3 e 3.10 desta sistematização: será que, na nuvem, paga-se apenas pelos recursos efetivamente utilizados? Na prática, o mais preciso é dizer que se paga pela disponibilidade do recurso, e não estritamente pelo seu uso — da mesma forma que uma conta de água ou de energia elétrica é cobrada (ainda que com valor mínimo) mesmo durante um período de viagem em que a residência ficou vazia, ou como uma assinatura de streaming é cobrada integralmente, independentemente de quantos filmes o assinante efetivamente assistir naquele mês. Uma máquina virtual contratada e mantida ligada, mesmo sem uso algum, é cobrada pelo tempo em que ficou disponível e reservada exclusivamente para o cliente; um pacote de armazenamento de 50 GB contratado para acomodar um pico ocasional de fotos de férias é cobrado integralmente, ainda que apenas 12 GB estejam de fato ocupados — porque o restante permanece disponível para uso imediato, a qualquer momento.</w:t>
      </w:r>
    </w:p>
    <w:p>
      <w:pPr>
        <w:spacing w:after="200" w:line="276"/>
        <w:jc w:val="both"/>
      </w:pPr>
      <w:r>
        <w:rPr>
          <w:sz w:val="22"/>
          <w:szCs w:val="22"/>
        </w:rPr>
        <w:t xml:space="preserve">Os modelos de cobrança mais tradicionais na nuvem são três.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Modelo</w:t>
            </w:r>
          </w:p>
        </w:tc>
        <w:tc>
          <w:tcPr>
            <w:tcW w:type="dxa" w:w="4200"/>
            <w:shd w:fill="1F3864" w:val="clear"/>
            <w:tcMar>
              <w:top w:type="dxa" w:w="100"/>
              <w:left w:type="dxa" w:w="120"/>
              <w:bottom w:type="dxa" w:w="100"/>
              <w:right w:type="dxa" w:w="120"/>
            </w:tcMar>
            <w:vAlign w:val="center"/>
          </w:tcPr>
          <w:p>
            <w:pPr>
              <w:jc w:val="left"/>
            </w:pPr>
            <w:r>
              <w:rPr>
                <w:b/>
                <w:bCs/>
                <w:color w:val="FFFFFF"/>
                <w:sz w:val="19"/>
                <w:szCs w:val="19"/>
              </w:rPr>
              <w:t xml:space="preserve">Características</w:t>
            </w:r>
          </w:p>
        </w:tc>
        <w:tc>
          <w:tcPr>
            <w:tcW w:type="dxa" w:w="2750"/>
            <w:shd w:fill="1F3864" w:val="clear"/>
            <w:tcMar>
              <w:top w:type="dxa" w:w="100"/>
              <w:left w:type="dxa" w:w="120"/>
              <w:bottom w:type="dxa" w:w="100"/>
              <w:right w:type="dxa" w:w="120"/>
            </w:tcMar>
            <w:vAlign w:val="center"/>
          </w:tcPr>
          <w:p>
            <w:pPr>
              <w:jc w:val="left"/>
            </w:pPr>
            <w:r>
              <w:rPr>
                <w:b/>
                <w:bCs/>
                <w:color w:val="FFFFFF"/>
                <w:sz w:val="19"/>
                <w:szCs w:val="19"/>
              </w:rPr>
              <w:t xml:space="preserve">Quando é indicado</w:t>
            </w:r>
          </w:p>
        </w:tc>
      </w:tr>
      <w:tr>
        <w:tc>
          <w:tcPr>
            <w:tcW w:type="dxa" w:w="2400"/>
            <w:tcMar>
              <w:top w:type="dxa" w:w="100"/>
              <w:left w:type="dxa" w:w="120"/>
              <w:bottom w:type="dxa" w:w="100"/>
              <w:right w:type="dxa" w:w="120"/>
            </w:tcMar>
            <w:vAlign w:val="center"/>
          </w:tcPr>
          <w:p>
            <w:pPr>
              <w:jc w:val="left"/>
            </w:pPr>
            <w:r>
              <w:rPr>
                <w:b w:val="false"/>
                <w:bCs w:val="false"/>
                <w:color w:val="000000"/>
                <w:sz w:val="19"/>
                <w:szCs w:val="19"/>
              </w:rPr>
              <w:t xml:space="preserve">On-demand (pay-per-use)</w:t>
            </w:r>
          </w:p>
        </w:tc>
        <w:tc>
          <w:tcPr>
            <w:tcW w:type="dxa" w:w="4200"/>
            <w:tcMar>
              <w:top w:type="dxa" w:w="100"/>
              <w:left w:type="dxa" w:w="120"/>
              <w:bottom w:type="dxa" w:w="100"/>
              <w:right w:type="dxa" w:w="120"/>
            </w:tcMar>
            <w:vAlign w:val="center"/>
          </w:tcPr>
          <w:p>
            <w:pPr>
              <w:jc w:val="left"/>
            </w:pPr>
            <w:r>
              <w:rPr>
                <w:b w:val="false"/>
                <w:bCs w:val="false"/>
                <w:color w:val="000000"/>
                <w:sz w:val="19"/>
                <w:szCs w:val="19"/>
              </w:rPr>
              <w:t xml:space="preserve">Pagamento por uso, cobrado ao final do período (fatura mensal); maior flexibilidade; geralmente a opção mais cara por unidade de recurso</w:t>
            </w:r>
          </w:p>
        </w:tc>
        <w:tc>
          <w:tcPr>
            <w:tcW w:type="dxa" w:w="2750"/>
            <w:tcMar>
              <w:top w:type="dxa" w:w="100"/>
              <w:left w:type="dxa" w:w="120"/>
              <w:bottom w:type="dxa" w:w="100"/>
              <w:right w:type="dxa" w:w="120"/>
            </w:tcMar>
            <w:vAlign w:val="center"/>
          </w:tcPr>
          <w:p>
            <w:pPr>
              <w:jc w:val="left"/>
            </w:pPr>
            <w:r>
              <w:rPr>
                <w:b w:val="false"/>
                <w:bCs w:val="false"/>
                <w:color w:val="000000"/>
                <w:sz w:val="19"/>
                <w:szCs w:val="19"/>
              </w:rPr>
              <w:t xml:space="preserve">Cargas de trabalho variáveis, testes, aplicações em fase inicial ou sem previsibilidade de uso</w:t>
            </w:r>
          </w:p>
        </w:tc>
      </w:tr>
      <w:tr>
        <w:tc>
          <w:tcPr>
            <w:tcW w:type="dxa" w:w="24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Reserved</w:t>
            </w:r>
          </w:p>
        </w:tc>
        <w:tc>
          <w:tcPr>
            <w:tcW w:type="dxa" w:w="42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Compromisso de uso por um período determinado (1, 2 ou 3 anos), com desconto significativo em troca desse compromisso</w:t>
            </w:r>
          </w:p>
        </w:tc>
        <w:tc>
          <w:tcPr>
            <w:tcW w:type="dxa" w:w="27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Cargas de trabalho estáveis e previsíveis, com uso constante ao longo do tempo</w:t>
            </w:r>
          </w:p>
        </w:tc>
      </w:tr>
      <w:tr>
        <w:tc>
          <w:tcPr>
            <w:tcW w:type="dxa" w:w="2400"/>
            <w:tcMar>
              <w:top w:type="dxa" w:w="100"/>
              <w:left w:type="dxa" w:w="120"/>
              <w:bottom w:type="dxa" w:w="100"/>
              <w:right w:type="dxa" w:w="120"/>
            </w:tcMar>
            <w:vAlign w:val="center"/>
          </w:tcPr>
          <w:p>
            <w:pPr>
              <w:jc w:val="left"/>
            </w:pPr>
            <w:r>
              <w:rPr>
                <w:b w:val="false"/>
                <w:bCs w:val="false"/>
                <w:color w:val="000000"/>
                <w:sz w:val="19"/>
                <w:szCs w:val="19"/>
              </w:rPr>
              <w:t xml:space="preserve">Spot</w:t>
            </w:r>
          </w:p>
        </w:tc>
        <w:tc>
          <w:tcPr>
            <w:tcW w:type="dxa" w:w="4200"/>
            <w:tcMar>
              <w:top w:type="dxa" w:w="100"/>
              <w:left w:type="dxa" w:w="120"/>
              <w:bottom w:type="dxa" w:w="100"/>
              <w:right w:type="dxa" w:w="120"/>
            </w:tcMar>
            <w:vAlign w:val="center"/>
          </w:tcPr>
          <w:p>
            <w:pPr>
              <w:jc w:val="left"/>
            </w:pPr>
            <w:r>
              <w:rPr>
                <w:b w:val="false"/>
                <w:bCs w:val="false"/>
                <w:color w:val="000000"/>
                <w:sz w:val="19"/>
                <w:szCs w:val="19"/>
              </w:rPr>
              <w:t xml:space="preserve">Uso da capacidade ociosa do provedor, oferecida em um modelo semelhante a um leilão, com grande economia, mas sujeita a interrupção com pouco aviso prévio caso o provedor precise do recurso</w:t>
            </w:r>
          </w:p>
        </w:tc>
        <w:tc>
          <w:tcPr>
            <w:tcW w:type="dxa" w:w="2750"/>
            <w:tcMar>
              <w:top w:type="dxa" w:w="100"/>
              <w:left w:type="dxa" w:w="120"/>
              <w:bottom w:type="dxa" w:w="100"/>
              <w:right w:type="dxa" w:w="120"/>
            </w:tcMar>
            <w:vAlign w:val="center"/>
          </w:tcPr>
          <w:p>
            <w:pPr>
              <w:jc w:val="left"/>
            </w:pPr>
            <w:r>
              <w:rPr>
                <w:b w:val="false"/>
                <w:bCs w:val="false"/>
                <w:color w:val="000000"/>
                <w:sz w:val="19"/>
                <w:szCs w:val="19"/>
              </w:rPr>
              <w:t xml:space="preserve">Processamento tolerante a interrupções: testes, treinamento de modelos, cargas em lote (batch)</w:t>
            </w:r>
          </w:p>
        </w:tc>
      </w:tr>
    </w:tbl>
    <w:p>
      <w:pPr>
        <w:spacing w:after="200"/>
      </w:pPr>
    </w:p>
    <w:p>
      <w:pPr>
        <w:spacing w:after="200" w:line="276"/>
        <w:jc w:val="both"/>
      </w:pPr>
      <w:r>
        <w:rPr>
          <w:sz w:val="22"/>
          <w:szCs w:val="22"/>
        </w:rPr>
        <w:t xml:space="preserve">Existe ainda um modelo por assinatura ou por créditos pré-pagos, comum em PaaS e SaaS (incluindo ferramentas de inteligência artificial): paga-se um valor fixo periódico (mensal, por exemplo) que dá direito a um volume determinado de uso — como um número de tokens de IA ou o acesso a um conjunto de aplicativos de produtividade —, com a diferença de que, ao contrário do reserved, o compromisso não está associado a uma máquina específica, mas a um valor ou volume de créditos que pode ser distribuído livremente entre diferentes recursos.</w:t>
      </w:r>
    </w:p>
    <w:p>
      <w:pPr>
        <w:pStyle w:val="Heading2"/>
        <w:spacing w:after="120" w:before="260"/>
      </w:pPr>
      <w:r>
        <w:rPr>
          <w:b/>
          <w:bCs/>
          <w:i/>
          <w:iCs/>
          <w:color w:val="2E74B5"/>
          <w:sz w:val="24"/>
          <w:szCs w:val="24"/>
        </w:rPr>
        <w:t xml:space="preserve">6.3 FinOps: gestão financeira da nuvem</w:t>
      </w:r>
    </w:p>
    <w:p>
      <w:pPr>
        <w:spacing w:after="200" w:line="276"/>
        <w:jc w:val="both"/>
      </w:pPr>
      <w:r>
        <w:rPr>
          <w:sz w:val="22"/>
          <w:szCs w:val="22"/>
        </w:rPr>
        <w:t xml:space="preserve">FinOps é um conjunto de práticas que integra tecnologia, negócios e finanças para otimizar os custos da computação em nuvem, com objetivos de controlar gastos, eliminar desperdícios, melhorar a previsibilidade financeira e maximizar o retorno sobre o investimento. Entre suas boas práticas mais recomendadas estão: desligar recursos não utilizados; utilizar auto scaling para adequar a capacidade à demanda real; escolher o tipo correto de instância (nem sempre a máquina mais potente e mais cara disponível é necessária para a aplicação); monitorar custos continuamente; utilizar os modelos reserved e spot quando apropriado; definir políticas de tags (etiquetas) para os recursos; e automatizar desligamentos programados.</w:t>
      </w:r>
    </w:p>
    <w:p>
      <w:pPr>
        <w:spacing w:after="200" w:line="276"/>
        <w:jc w:val="both"/>
      </w:pPr>
      <w:r>
        <w:rPr>
          <w:sz w:val="22"/>
          <w:szCs w:val="22"/>
        </w:rPr>
        <w:t xml:space="preserve">Um dos maiores diferenciais do FinOps na nuvem, em comparação à computação tradicional, é a possibilidade de repasse de custos (chargeback) mais preciso entre áreas de uma organização. Em um ambiente tradicional, com um único servidor compartilhado por múltiplos departamentos, o rateio do custo tende a ser feito de forma genérica (por exemplo, dividido igualmente entre as áreas), gerando frequentes disputas sobre quem consome mais ou menos daquele recurso. Na nuvem, apoiando-se na característica essencial de serviço medido, é possível segregar os recursos por grupos (comumente chamados de "grupos de recursos") associados a cada departamento ou equipe, de modo que a fatura mensal já discrimine exatamente o custo gerado por cada um. Essa mesma lógica de medição permite precificar o custo de decisões técnicas específicas — por exemplo, comparar o custo e o ganho de desempenho de uma aplicação rodando em uma instância com 64 GB de memória versus outra com 32 GB —, apoiando decisões de arquitetura mais conscientes do ponto de vista financeiro.</w:t>
      </w:r>
    </w:p>
    <w:p>
      <w:pPr>
        <w:pStyle w:val="Heading2"/>
        <w:spacing w:after="120" w:before="260"/>
      </w:pPr>
      <w:r>
        <w:rPr>
          <w:b/>
          <w:bCs/>
          <w:i/>
          <w:iCs/>
          <w:color w:val="2E74B5"/>
          <w:sz w:val="24"/>
          <w:szCs w:val="24"/>
        </w:rPr>
        <w:t xml:space="preserve">6.4 Green IT e sustentabilidade</w:t>
      </w:r>
    </w:p>
    <w:p>
      <w:pPr>
        <w:spacing w:after="200" w:line="276"/>
        <w:jc w:val="both"/>
      </w:pPr>
      <w:r>
        <w:rPr>
          <w:sz w:val="22"/>
          <w:szCs w:val="22"/>
        </w:rPr>
        <w:t xml:space="preserve">Green IT consiste na adoção de práticas para reduzir os impactos ambientais da tecnologia, com objetivos como reduzir o consumo de energia, diminuir emissões de carbono, aumentar a eficiência energética e prolongar a vida útil dos equipamentos. Na computação em nuvem, essa preocupação se soma à do FinOps: quanto mais recursos computacionais uma aplicação demanda, maior o número de data centers, a geração de energia e o consumo de água necessários para sustentá-la — um tema que tem ganhado ainda mais relevância com o crescimento acelerado da demanda por infraestrutura de inteligência artificial, a ponto de extrapolar o âmbito puramente técnico e tocar em discussões geopolíticas sobre quais regiões do mundo reúnem condições (energéticas, hídricas) mais favoráveis para concentrar novos data centers. Entre as práticas de sustentabilidade adotadas pelos provedores de nuvem estão a consolidação de servidores, a melhor utilização dos recursos computacionais, sistemas de refrigeração mais eficientes, o uso crescente de energia renovável e a otimização automática da infraestrutura — muitas das quais se sobrepõem às próprias vantagens da virtualização discutidas na Seção 2.</w:t>
      </w:r>
    </w:p>
    <w:p>
      <w:pPr>
        <w:pStyle w:val="Heading2"/>
        <w:spacing w:after="120" w:before="260"/>
      </w:pPr>
      <w:r>
        <w:rPr>
          <w:b/>
          <w:bCs/>
          <w:i/>
          <w:iCs/>
          <w:color w:val="2E74B5"/>
          <w:sz w:val="24"/>
          <w:szCs w:val="24"/>
        </w:rPr>
        <w:t xml:space="preserve">6.5 Outros paradigmas computacionais: Edge e Fog Computing</w:t>
      </w:r>
    </w:p>
    <w:p>
      <w:pPr>
        <w:spacing w:after="200" w:line="276"/>
        <w:jc w:val="both"/>
      </w:pPr>
      <w:r>
        <w:rPr>
          <w:sz w:val="22"/>
          <w:szCs w:val="22"/>
        </w:rPr>
        <w:t xml:space="preserve">Além da computação em nuvem, a literatura descreve diversos outros paradigmas computacionais distribuídos — Edge Computing (computação de borda), Fog Computing (computação de névoa), Mobile Edge Computing, Mobile Cloud Computing, Mobile Ad Hoc Cloud Computing, Mist Computing, Cloudlet Computing e Dew Computing —, muitos deles com definições que se sobrepõem e ainda em consolidação acadêmica. Os dois mais relevantes na prática comercial atual são a computação de borda e a computação de névoa, cujo objetivo comum é processar dados mais próximos do usuário ou do dispositivo que os gera, reduzindo a latência em comparação a enviar cada requisição até um data center de nuvem potencialmente distante. Esse ganho de latência é decisivo em cenários como o reconhecimento facial em catracas de grandes eventos (nos quais dezenas de milhares de pessoas precisam ser identificadas quase simultaneamente) ou a coordenação de robôs autônomos em uma linha de produção industrial, que precisam trocar informações de posicionamento em tempo real para evitar colisões — nesses casos, processar a informação em um servidor local, mais próximo, evita o atraso de uma ida e volta até um data center distante. É importante destacar que nenhum desses paradigmas tem o objetivo de substituir a computação em nuvem: eles a complementam, processando localmente o que exige resposta quase instantânea, enquanto a nuvem continua responsável por processamento mais pesado, armazenamento de longo prazo e orquestração geral.</w:t>
      </w:r>
    </w:p>
    <w:p>
      <w:pPr>
        <w:pStyle w:val="Heading2"/>
        <w:spacing w:after="120" w:before="260"/>
      </w:pPr>
      <w:r>
        <w:rPr>
          <w:b/>
          <w:bCs/>
          <w:i/>
          <w:iCs/>
          <w:color w:val="2E74B5"/>
          <w:sz w:val="24"/>
          <w:szCs w:val="24"/>
        </w:rPr>
        <w:t xml:space="preserve">6.6 Sky Computing</w:t>
      </w:r>
    </w:p>
    <w:p>
      <w:pPr>
        <w:spacing w:after="200" w:line="276"/>
        <w:jc w:val="both"/>
      </w:pPr>
      <w:r>
        <w:rPr>
          <w:sz w:val="22"/>
          <w:szCs w:val="22"/>
        </w:rPr>
        <w:t xml:space="preserve">Em um cenário no qual diversos provedores oferecem serviços semelhantes, porém com abordagens e diferenciais próprios, uma organização pode optar por utilizar simultaneamente vários serviços de vários provedores — o que dá origem a conceitos já discutidos nesta sistematização, como multicloud, cross-cloud, nuvem federada e inter-cloud. O termo Sky Computing tem sido utilizado na literatura acadêmica para descrever, de forma unificada, esse cenário de agregação de recursos de múltiplas nuvens — como se o "céu" fosse composto por várias "nuvens" individuais (MONTEIRO; TEIXEIRA; PINTO, 2017).</w:t>
      </w:r>
    </w:p>
    <w:p>
      <w:pPr>
        <w:pStyle w:val="Heading2"/>
        <w:spacing w:after="120" w:before="260"/>
      </w:pPr>
      <w:r>
        <w:rPr>
          <w:b/>
          <w:bCs/>
          <w:i/>
          <w:iCs/>
          <w:color w:val="2E74B5"/>
          <w:sz w:val="24"/>
          <w:szCs w:val="24"/>
        </w:rPr>
        <w:t xml:space="preserve">6.7 Inteligência artificial na computação em nuvem</w:t>
      </w:r>
    </w:p>
    <w:p>
      <w:pPr>
        <w:spacing w:after="200" w:line="276"/>
        <w:jc w:val="both"/>
      </w:pPr>
      <w:r>
        <w:rPr>
          <w:sz w:val="22"/>
          <w:szCs w:val="22"/>
        </w:rPr>
        <w:t xml:space="preserve">A computação em nuvem fornece a infraestrutura necessária para executar aplicações de inteligência artificial em larga escala, disponibilizando recursos sob demanda sem que cada organização precise montar sua própria infraestrutura de GPUs e ambientes complexos de treinamento. Os provedores oferecem serviços gerenciados de IA — incluindo modelos pré-treinados para reconhecimento de imagens, processamento de linguagem natural, tradução, síntese de voz e análise de sentimentos — e plataformas completas de MLOps, cobrindo desenvolvimento, treinamento, implantação e monitoramento de modelos de machine learning e deep learning. A elasticidade da nuvem permite aumentar ou reduzir automaticamente os recursos usados durante o treinamento ou a inferência, e a integração entre IA e Big Data possibilita analisar grandes volumes de dados para identificar padrões e apoiar decisões. Vale notar que grandes ferramentas de IA generativa — como assistentes conversacionais e geradores de imagem — são, tecnicamente, ofertadas no modelo Software como Serviço (SaaS): o usuário não sabe (nem precisa saber) em qual data center ou infraestrutura o modelo está sendo executado, apenas consome o resultado por meio de uma interface ou API, embora alguns provedores prefiram rotular comercialmente esse tipo de oferta como "Inteligência Artificial como Serviço".</w:t>
      </w:r>
    </w:p>
    <w:p>
      <w:pPr>
        <w:spacing w:after="200" w:line="276"/>
        <w:jc w:val="both"/>
      </w:pPr>
      <w:r>
        <w:rPr>
          <w:sz w:val="22"/>
          <w:szCs w:val="22"/>
        </w:rPr>
        <w:t xml:space="preserve">Do ponto de vista de hardware, o treinamento de modelos de IA costuma se apoiar em GPUs (já discutidas na Seção 3.9) e também em TPUs (Tensor Processing Units) — processadores especializados baseados em operações com tensores, e não em processamento gráfico, voltados especificamente para cargas de machine learning; enquanto a GPU tem propósito mais genérico, a TPU tende a ser mais eficiente e consumir menos energia especificamente para essas cargas. A IA também é utilizada pelos próprios provedores de nuvem para otimizar sua infraestrutura, detectar ameaças de segurança, prever falhas, automatizar operações e reduzir custos operacionais — um uso que reforça, mais uma vez, a relação simbiótica entre os dois temas: a nuvem fornece a escala necessária para o avanço da inteligência artificial, e a inteligência artificial, por sua vez, ajuda a operar a nuvem de forma mais eficiente. Entre os principais benefícios dessa combinação estão a escalabilidade sob demanda, a redução de custos de infraestrutura, o acesso a hardware especializado sem investimento direto, o desenvolvimento mais acelerado de soluções inteligentes e a alta disponibilidade e confiabilidade dessas aplicações — sem que isso signifique, porém, que toda aplicação de IA precise necessariamente rodar na nuvem: soluções locais, inclusive com aceleradores de IA embutidos em notebooks e smartphones (NPUs), continuam existindo para cargas mais leves ou específicas.</w:t>
      </w:r>
    </w:p>
    <w:p>
      <w:pPr>
        <w:pStyle w:val="Heading2"/>
        <w:spacing w:after="120" w:before="260"/>
      </w:pPr>
      <w:r>
        <w:rPr>
          <w:b/>
          <w:bCs/>
          <w:i/>
          <w:iCs/>
          <w:color w:val="2E74B5"/>
          <w:sz w:val="24"/>
          <w:szCs w:val="24"/>
        </w:rPr>
        <w:t xml:space="preserve">6.8 Segurança na computação em nuvem</w:t>
      </w:r>
    </w:p>
    <w:p>
      <w:pPr>
        <w:spacing w:after="200" w:line="276"/>
        <w:jc w:val="both"/>
      </w:pPr>
      <w:r>
        <w:rPr>
          <w:sz w:val="22"/>
          <w:szCs w:val="22"/>
        </w:rPr>
        <w:t xml:space="preserve">A computação em nuvem oferece diversos mecanismos de segurança, mas a proteção efetiva dos recursos depende da atuação conjunta entre provedor e cliente — reforçando, uma vez mais, o modelo de responsabilidade compartilhada já introduzido nas Seções 3.3 e 5.13. De forma mais explícita, cabe tipicamente ao provedor a segurança física dos data centers, do hardware, da rede e da camada de virtualização; e cabe ao cliente a proteção dos próprios dados, das aplicações, da gestão de usuários, das configurações e das políticas de acesso aos recursos que contratou. A segurança da informação, de um modo geral, apoia-se classicamente no modelo CIA — Confidencialidade (somente pessoas autorizadas acessam os dados), Integridade (garantia de que os dados não foram alterados indevidamente) e Disponibilidade (os serviços permanecem acessíveis quando necessário) —, ao qual a computação em nuvem costuma agregar mais dois princípios: autenticidade (garantia de que um usuário ou sistema é, de fato, quem afirma ser) e rastreabilidade (capacidade de reconstituir quem fez o quê, quando e onde, dentro do ambiente). É importante frisar que segurança em nuvem não é apenas uma questão tecnológica: envolve também pessoas, processos e políticas bem definidas.</w:t>
      </w:r>
    </w:p>
    <w:p>
      <w:pPr>
        <w:pStyle w:val="Heading2"/>
        <w:spacing w:after="120" w:before="260"/>
      </w:pPr>
      <w:r>
        <w:rPr>
          <w:b/>
          <w:bCs/>
          <w:i/>
          <w:iCs/>
          <w:color w:val="2E74B5"/>
          <w:sz w:val="24"/>
          <w:szCs w:val="24"/>
        </w:rPr>
        <w:t xml:space="preserve">6.9 Gestão de identidade e acesso (IAM)</w:t>
      </w:r>
    </w:p>
    <w:p>
      <w:pPr>
        <w:spacing w:after="200" w:line="276"/>
        <w:jc w:val="both"/>
      </w:pPr>
      <w:r>
        <w:rPr>
          <w:sz w:val="22"/>
          <w:szCs w:val="22"/>
        </w:rPr>
        <w:t xml:space="preserve">O Identity and Access Management (IAM) é o conjunto de mecanismos responsáveis por gerenciar identidades digitais e controles de acesso, permitindo criar usuários, grupos, funções (roles), políticas e permissões. Seu funcionamento típico segue um fluxo: o usuário (pessoa ou aplicação) solicita acesso; passa por autenticação, idealmente reforçada por múltiplos fatores (Multi-Factor Authentication — MFA); tem sua identidade processada pelo IAM, que verifica seus grupos, funções e permissões associadas; é então submetido às políticas de acesso, que definem o que pode ou não fazer, baseadas no princípio do menor privilégio; e, somente então, acessa os recursos em nuvem (computação, armazenamento, banco de dados, rede) de forma controlada e auditável. É fundamental distinguir autenticação ("quem é você" — verificada por senha, certificado, token ou biometria) de autorização ("o que você pode fazer" — ler, escrever, excluir ou administrar um recurso): a primeira confirma a identidade; a segunda define os limites de atuação dessa identidade já confirmada.</w:t>
      </w:r>
    </w:p>
    <w:p>
      <w:pPr>
        <w:spacing w:after="200" w:line="276"/>
        <w:jc w:val="both"/>
      </w:pPr>
      <w:r>
        <w:rPr>
          <w:sz w:val="22"/>
          <w:szCs w:val="22"/>
        </w:rPr>
        <w:t xml:space="preserve">O princípio do menor privilégio estabelece que todo usuário deve possuir apenas as permissões estritamente necessárias para executar suas atividades — reduzindo riscos, limitando o impacto de eventuais credenciais comprometidas, melhorando a auditoria e facilitando o compliance. A autenticação multifator (MFA), por sua vez, combina dois ou mais fatores de verificação (por exemplo, senha mais aplicativo autenticador, ou senha mais token físico ou biometria), reduzindo significativamente o risco de ataques por roubo de senha, sobretudo em contas com privilégios administrativos.</w:t>
      </w:r>
    </w:p>
    <w:p>
      <w:pPr>
        <w:pStyle w:val="Heading2"/>
        <w:spacing w:after="120" w:before="260"/>
      </w:pPr>
      <w:r>
        <w:rPr>
          <w:b/>
          <w:bCs/>
          <w:i/>
          <w:iCs/>
          <w:color w:val="2E74B5"/>
          <w:sz w:val="24"/>
          <w:szCs w:val="24"/>
        </w:rPr>
        <w:t xml:space="preserve">6.10 Criptografia, auditoria e segurança em redes e aplicações</w:t>
      </w:r>
    </w:p>
    <w:p>
      <w:pPr>
        <w:spacing w:after="200" w:line="276"/>
        <w:jc w:val="both"/>
      </w:pPr>
      <w:r>
        <w:rPr>
          <w:sz w:val="22"/>
          <w:szCs w:val="22"/>
        </w:rPr>
        <w:t xml:space="preserve">A criptografia protege a confidencialidade das informações e se aplica a dois momentos distintos: em repouso (at rest), protegendo dados armazenados, e em trânsito (in transit), protegendo dados durante a comunicação entre sistemas. Complementarmente, toda ação relevante em um ambiente de nuvem deve ser registrada por meio de auditoria e logs — como tentativas de login, alterações de permissões, exclusão de recursos ou criação de máquinas virtuais —, permitindo reconstituir o histórico de eventos em caso de incidente.</w:t>
      </w:r>
    </w:p>
    <w:p>
      <w:pPr>
        <w:spacing w:after="200" w:line="276"/>
        <w:jc w:val="both"/>
      </w:pPr>
      <w:r>
        <w:rPr>
          <w:sz w:val="22"/>
          <w:szCs w:val="22"/>
        </w:rPr>
        <w:t xml:space="preserve">A segurança em redes, discutida com mais detalhe nas Seções 3.12 e 3.13, deve ser implementada em múltiplas camadas — princípio conhecido como defesa em profundidade (defense in depth) —, combinando mecanismos como VPC/VNet, sub-redes, grupos de segurança, listas de controle de acesso de rede (Network ACLs), firewalls, VPN e o uso de um bastion host (um servidor intermediário, fortemente monitorado, por meio do qual se realiza o acesso administrativo a recursos de uma sub-rede privada, evitando expor esses recursos diretamente à internet). Já a segurança de aplicações depende de boas práticas como atualizações frequentes, correção tempestiva de vulnerabilidades, validação rigorosa das entradas do usuário, uso de APIs seguras, gestão adequada de segredos (chaves de API, senhas, certificados) e o uso de contêineres e imagens atualizados e confiáveis — evitando, por exemplo, herdar vulnerabilidades conhecidas de imagens desatualizadas.</w:t>
      </w:r>
    </w:p>
    <w:p>
      <w:pPr>
        <w:pStyle w:val="Heading2"/>
        <w:spacing w:after="120" w:before="260"/>
      </w:pPr>
      <w:r>
        <w:rPr>
          <w:b/>
          <w:bCs/>
          <w:i/>
          <w:iCs/>
          <w:color w:val="2E74B5"/>
          <w:sz w:val="24"/>
          <w:szCs w:val="24"/>
        </w:rPr>
        <w:t xml:space="preserve">6.11 Compliance e principais normas e regulamentações</w:t>
      </w:r>
    </w:p>
    <w:p>
      <w:pPr>
        <w:spacing w:after="200" w:line="276"/>
        <w:jc w:val="both"/>
      </w:pPr>
      <w:r>
        <w:rPr>
          <w:sz w:val="22"/>
          <w:szCs w:val="22"/>
        </w:rPr>
        <w:t xml:space="preserve">Compliance consiste no atendimento às leis, normas e políticas aplicáveis à organização, com objetivos de reduzir riscos, garantir conformidade legal, proteger dados e aumentar a confiança de clientes e parceiros. Entre as principais normas e regulamentações relevantes para a computação em nuvem estão a LGPD (Lei Geral de Proteção de Dados), voltada à proteção de dados pessoais no Brasil; a ISO 27001, norma internacional para sistemas de gestão de segurança da informação; o SOC 2, conjunto de controles voltado a serviços digitais, amplamente exigido de provedores de nuvem por seus clientes corporativos; o PCI DSS, focado na proteção de dados de cartões de pagamento; e a HIPAA, voltada à proteção de dados de saúde nos Estados Unidos. A aderência a essas normas costuma ser um critério relevante na escolha de provedores e no desenho da arquitetura de uma aplicação em nuvem, especialmente em setores regulados.</w:t>
      </w:r>
    </w:p>
    <w:p>
      <w:pPr>
        <w:pStyle w:val="Heading2"/>
        <w:spacing w:after="120" w:before="260"/>
      </w:pPr>
      <w:r>
        <w:rPr>
          <w:b/>
          <w:bCs/>
          <w:i/>
          <w:iCs/>
          <w:color w:val="2E74B5"/>
          <w:sz w:val="24"/>
          <w:szCs w:val="24"/>
        </w:rPr>
        <w:t xml:space="preserve">6.12 Governança em nuvem: boas práticas e frameworks</w:t>
      </w:r>
    </w:p>
    <w:p>
      <w:pPr>
        <w:spacing w:after="200" w:line="276"/>
        <w:jc w:val="both"/>
      </w:pPr>
      <w:r>
        <w:rPr>
          <w:sz w:val="22"/>
          <w:szCs w:val="22"/>
        </w:rPr>
        <w:t xml:space="preserve">Retomando e aprofundando o conceito de governança já introduzido na Seção 3.8, governança em nuvem é o conjunto de processos, políticas e mecanismos utilizados para garantir que a utilização da nuvem esteja alinhada aos objetivos estratégicos da organização, envolvendo pessoas, processos, tecnologia, riscos e conformidade. Entre suas boas práticas mais recomendadas estão: padronização de ambientes; controle de custos (retomando o FinOps discutido na Seção 6.3); gestão de identidades (Seção 6.9); gestão de ativos; políticas de segurança; rotinas de backup; gestão de riscos; automação; e auditoria contínua. Para estruturar essa governança, reduzir riscos e aumentar a maturidade dos ambientes em nuvem, as organizações costumam se apoiar em frameworks consolidados — como o COBIT, o ITIL (já discutido na Seção 5.1), a ISO 27001, o NIST Cybersecurity Framework, os CIS Controls e frameworks proprietários dos próprios provedores, como o Cloud Adoption Framework da Microsoft e o AWS Well-Architected Framework.</w:t>
      </w:r>
    </w:p>
    <w:p>
      <w:pPr>
        <w:pStyle w:val="Heading2"/>
        <w:spacing w:after="120" w:before="260"/>
      </w:pPr>
      <w:r>
        <w:rPr>
          <w:b/>
          <w:bCs/>
          <w:i/>
          <w:iCs/>
          <w:color w:val="2E74B5"/>
          <w:sz w:val="24"/>
          <w:szCs w:val="24"/>
        </w:rPr>
        <w:t xml:space="preserve">6.13 Critérios para seleção de fornecedores de nuvem</w:t>
      </w:r>
    </w:p>
    <w:p>
      <w:pPr>
        <w:spacing w:after="200" w:line="276"/>
        <w:jc w:val="both"/>
      </w:pPr>
      <w:r>
        <w:rPr>
          <w:sz w:val="22"/>
          <w:szCs w:val="22"/>
        </w:rPr>
        <w:t xml:space="preserve">Além dos aspectos técnicos discutidos ao longo desta sistematização, a escolha de um provedor de nuvem envolve critérios de natureza mais estratégica e comercial. Em primeiro lugar, é preciso analisar se as ofertas de serviço do fornecedor se encaixam nos requisitos de negócio — considerando o planejamento estratégico da organização, quem são e onde estão seus clientes, onde atua o time de back-office, o ciclo de vida dos produtos e serviços entregues e, especialmente, o alinhamento com o Plano Diretor de TI (PDTI) já discutido na Seção 3.8. Em segundo lugar, é necessário compreender detalhadamente os custos da solução, seguindo um ciclo contínuo de planejar (revisar periodicamente a previsão de despesas), monitorar (observar os gastos reais e compará-los ao orçamento planejado, detectando anomalias antes que se tornem surpresas), reduzir e otimizar (eliminar recursos que desperdiçam gastos e aproveitar descontos e modelos de precificação mais vantajosos) e amadurecer (expandir continuamente os processos de gestão de custos) — sendo comum que os próprios provedores ofereçam calculadoras para apoiar essa estimativa.</w:t>
      </w:r>
    </w:p>
    <w:p>
      <w:pPr>
        <w:spacing w:after="200" w:line="276"/>
        <w:jc w:val="both"/>
      </w:pPr>
      <w:r>
        <w:rPr>
          <w:sz w:val="22"/>
          <w:szCs w:val="22"/>
        </w:rPr>
        <w:t xml:space="preserve">Em terceiro lugar, deve-se avaliar a localização geográfica dos serviços e o ecossistema de nuvem da região — comparando alternativas, considerando as leis locais de tratamento de dados e informações pessoais (retomando o tema de Compliance da Seção 6.11) e observando com atenção as políticas de backup e controle de acesso aos dados. Em quarto lugar, é indispensável avaliar aspectos de segurança, compliance e requisitos legais aplicáveis ao setor da organização. Por fim, vale considerar o apoio disponível em redes de parceiros locais — conhecendo o ambiente de negócios da região, os principais integradores e desenvolvedores de soluções, e valorizando, quando possível, pequenos provedores e startups locais. No setor público brasileiro, esses critérios dialogam ainda com normativos específicos, como a Instrução Normativa SISP nº 1, de 10 de janeiro de 2019, que dispõe sobre o Plano Anual de Contratações de bens, serviços, obras e soluções de tecnologia da informação e comunicações no âmbito da Administração Pública federal.</w:t>
      </w:r>
    </w:p>
    <w:p>
      <w:pPr>
        <w:pStyle w:val="Heading2"/>
        <w:spacing w:after="120" w:before="260"/>
      </w:pPr>
      <w:r>
        <w:rPr>
          <w:b/>
          <w:bCs/>
          <w:i/>
          <w:iCs/>
          <w:color w:val="2E74B5"/>
          <w:sz w:val="24"/>
          <w:szCs w:val="24"/>
        </w:rPr>
        <w:t xml:space="preserve">6.14 Exemplo de arquitetura segura em nuvem</w:t>
      </w:r>
    </w:p>
    <w:p>
      <w:pPr>
        <w:spacing w:after="200" w:line="276"/>
        <w:jc w:val="both"/>
      </w:pPr>
      <w:r>
        <w:rPr>
          <w:sz w:val="22"/>
          <w:szCs w:val="22"/>
        </w:rPr>
        <w:t xml:space="preserve">Como síntese prática de boa parte dos temas de segurança e infraestrutura discutidos nesta sistematização, é útil descrever uma arquitetura de referência segura em nuvem. O tráfego de usuários (internet, dispositivos móveis, usuários corporativos) chega primeiro a um Web Application Firewall (WAF), que protege contra ataques comuns a aplicações web (como os listados no OWASP Top 10, injeção de SQL e Cross-Site Scripting); em seguida, passa por um balanceador de carga (Seção 5.9), que distribui o tráfego entre instâncias e garante alta disponibilidade, e por um firewall de rede, que controla o tráfego de entrada e saída. Dentro da rede virtual (VPC, Seção 3.12), as sub-redes públicas hospedam apenas o NAT Gateway e um bastion host de acesso administrativo, enquanto as sub-redes privadas concentram os servidores de aplicação (com auto scaling, Seção 5.10) e o banco de dados (tipicamente replicado entre múltiplas zonas de disponibilidade). Servem ainda de apoio serviços gerenciados como armazenamento em objetos para backups e logs (Seção 3.10), um serviço de gerenciamento de chaves (KMS) para a criptografia discutida na Seção 6.10, cache e filas de mensagens para desacoplar componentes da aplicação.</w:t>
      </w:r>
    </w:p>
    <w:p>
      <w:pPr>
        <w:spacing w:after="200" w:line="276"/>
        <w:jc w:val="both"/>
      </w:pPr>
      <w:r>
        <w:rPr>
          <w:sz w:val="22"/>
          <w:szCs w:val="22"/>
        </w:rPr>
        <w:t xml:space="preserve">Transversalmente a toda essa arquitetura atuam a gestão de identidade e acesso (IAM) e as políticas baseadas no princípio do menor privilégio; a auditoria e os logs de todas as ações relevantes; o monitoramento e os alertas (retomando a observabilidade da Seção 6.1); as rotinas de backup e recuperação; e, no nível mais alto, a governança e o compliance da organização. Essa arquitetura de referência ilustra, de forma concreta, princípios de segurança recorrentes ao longo de toda esta sistematização: defesa em profundidade (segurança em múltiplas camadas complementares, e não em um único ponto de controle); zero trust (nunca confiar, sempre verificar a identidade e a autorização de cada requisição, mesmo dentro da própria rede); visibilidade e monitoramento contínuos; automação e padronização (idealmente via infraestrutura como código, Seção 3.7); disponibilidade e resiliência por meio de ambientes replicados entre múltiplas zonas; e controle de custos e governança, fechando o ciclo com os temas de FinOps discutidos na Seção 6.3.</w:t>
      </w:r>
    </w:p>
    <w:p>
      <w:pPr>
        <w:pStyle w:val="Heading2"/>
        <w:spacing w:after="120" w:before="260"/>
      </w:pPr>
      <w:r>
        <w:rPr>
          <w:b/>
          <w:bCs/>
          <w:i/>
          <w:iCs/>
          <w:color w:val="2E74B5"/>
          <w:sz w:val="24"/>
          <w:szCs w:val="24"/>
        </w:rPr>
        <w:t xml:space="preserve">6.15 Síntese: desafios e tendências</w:t>
      </w:r>
    </w:p>
    <w:p>
      <w:pPr>
        <w:spacing w:after="200" w:line="276"/>
        <w:jc w:val="both"/>
      </w:pPr>
      <w:r>
        <w:rPr>
          <w:sz w:val="22"/>
          <w:szCs w:val="22"/>
        </w:rPr>
        <w:t xml:space="preserve">A tabela a seguir consolida, de forma comparativa, os principais desafios discutidos ao longo da disciplina e as soluções ou tendências tecnológicas que respondem a cada um deles.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350"/>
        <w:gridCol w:w="4200"/>
      </w:tblGrid>
      <w:tr>
        <w:trPr>
          <w:tblHeader/>
        </w:trPr>
        <w:tc>
          <w:tcPr>
            <w:tcW w:type="dxa" w:w="2800"/>
            <w:shd w:fill="1F3864" w:val="clear"/>
            <w:tcMar>
              <w:top w:type="dxa" w:w="100"/>
              <w:left w:type="dxa" w:w="120"/>
              <w:bottom w:type="dxa" w:w="100"/>
              <w:right w:type="dxa" w:w="120"/>
            </w:tcMar>
            <w:vAlign w:val="center"/>
          </w:tcPr>
          <w:p>
            <w:pPr>
              <w:jc w:val="left"/>
            </w:pPr>
            <w:r>
              <w:rPr>
                <w:b/>
                <w:bCs/>
                <w:color w:val="FFFFFF"/>
                <w:sz w:val="19"/>
                <w:szCs w:val="19"/>
              </w:rPr>
              <w:t xml:space="preserve">Desafio abordado na disciplina</w:t>
            </w:r>
          </w:p>
        </w:tc>
        <w:tc>
          <w:tcPr>
            <w:tcW w:type="dxa" w:w="2350"/>
            <w:shd w:fill="1F3864" w:val="clear"/>
            <w:tcMar>
              <w:top w:type="dxa" w:w="100"/>
              <w:left w:type="dxa" w:w="120"/>
              <w:bottom w:type="dxa" w:w="100"/>
              <w:right w:type="dxa" w:w="120"/>
            </w:tcMar>
            <w:vAlign w:val="center"/>
          </w:tcPr>
          <w:p>
            <w:pPr>
              <w:jc w:val="left"/>
            </w:pPr>
            <w:r>
              <w:rPr>
                <w:b/>
                <w:bCs/>
                <w:color w:val="FFFFFF"/>
                <w:sz w:val="19"/>
                <w:szCs w:val="19"/>
              </w:rPr>
              <w:t xml:space="preserve">Solução/Tendência</w:t>
            </w:r>
          </w:p>
        </w:tc>
        <w:tc>
          <w:tcPr>
            <w:tcW w:type="dxa" w:w="4200"/>
            <w:shd w:fill="1F3864" w:val="clear"/>
            <w:tcMar>
              <w:top w:type="dxa" w:w="100"/>
              <w:left w:type="dxa" w:w="120"/>
              <w:bottom w:type="dxa" w:w="100"/>
              <w:right w:type="dxa" w:w="120"/>
            </w:tcMar>
            <w:vAlign w:val="center"/>
          </w:tcPr>
          <w:p>
            <w:pPr>
              <w:jc w:val="left"/>
            </w:pPr>
            <w:r>
              <w:rPr>
                <w:b/>
                <w:bCs/>
                <w:color w:val="FFFFFF"/>
                <w:sz w:val="19"/>
                <w:szCs w:val="19"/>
              </w:rPr>
              <w:t xml:space="preserve">Síntese</w:t>
            </w:r>
          </w:p>
        </w:tc>
      </w:tr>
      <w:tr>
        <w:tc>
          <w:tcPr>
            <w:tcW w:type="dxa" w:w="2800"/>
            <w:tcMar>
              <w:top w:type="dxa" w:w="100"/>
              <w:left w:type="dxa" w:w="120"/>
              <w:bottom w:type="dxa" w:w="100"/>
              <w:right w:type="dxa" w:w="120"/>
            </w:tcMar>
            <w:vAlign w:val="center"/>
          </w:tcPr>
          <w:p>
            <w:pPr>
              <w:jc w:val="left"/>
            </w:pPr>
            <w:r>
              <w:rPr>
                <w:b w:val="false"/>
                <w:bCs w:val="false"/>
                <w:color w:val="000000"/>
                <w:sz w:val="19"/>
                <w:szCs w:val="19"/>
              </w:rPr>
              <w:t xml:space="preserve">Sobrecarga e baixo aproveitamento de servidores físicos</w:t>
            </w:r>
          </w:p>
        </w:tc>
        <w:tc>
          <w:tcPr>
            <w:tcW w:type="dxa" w:w="2350"/>
            <w:tcMar>
              <w:top w:type="dxa" w:w="100"/>
              <w:left w:type="dxa" w:w="120"/>
              <w:bottom w:type="dxa" w:w="100"/>
              <w:right w:type="dxa" w:w="120"/>
            </w:tcMar>
            <w:vAlign w:val="center"/>
          </w:tcPr>
          <w:p>
            <w:pPr>
              <w:jc w:val="left"/>
            </w:pPr>
            <w:r>
              <w:rPr>
                <w:b w:val="false"/>
                <w:bCs w:val="false"/>
                <w:color w:val="000000"/>
                <w:sz w:val="19"/>
                <w:szCs w:val="19"/>
              </w:rPr>
              <w:t xml:space="preserve">Virtualização e conteinerização</w:t>
            </w:r>
          </w:p>
        </w:tc>
        <w:tc>
          <w:tcPr>
            <w:tcW w:type="dxa" w:w="4200"/>
            <w:tcMar>
              <w:top w:type="dxa" w:w="100"/>
              <w:left w:type="dxa" w:w="120"/>
              <w:bottom w:type="dxa" w:w="100"/>
              <w:right w:type="dxa" w:w="120"/>
            </w:tcMar>
            <w:vAlign w:val="center"/>
          </w:tcPr>
          <w:p>
            <w:pPr>
              <w:jc w:val="left"/>
            </w:pPr>
            <w:r>
              <w:rPr>
                <w:b w:val="false"/>
                <w:bCs w:val="false"/>
                <w:color w:val="000000"/>
                <w:sz w:val="19"/>
                <w:szCs w:val="19"/>
              </w:rPr>
              <w:t xml:space="preserve">Hipervisores (VMware, KVM, Hyper-V) e containers (Docker) permitem maior densidade, isolamento e portabilidade de cargas de trabalho.</w:t>
            </w:r>
          </w:p>
        </w:tc>
      </w:tr>
      <w:tr>
        <w:tc>
          <w:tcPr>
            <w:tcW w:type="dxa" w:w="28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Provisionamento lento e custo elevado de infraestrutura</w:t>
            </w:r>
          </w:p>
        </w:tc>
        <w:tc>
          <w:tcPr>
            <w:tcW w:type="dxa" w:w="23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IaaS/PaaS sob demanda e FinOps</w:t>
            </w:r>
          </w:p>
        </w:tc>
        <w:tc>
          <w:tcPr>
            <w:tcW w:type="dxa" w:w="42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Modelos de nuvem pública convertem CAPEX em OPEX; práticas de FinOps monitoram e otimizam esse custo, lembrando que a cobrança ocorre pela capacidade contratada e disponibilizada, não apenas pelo volume efetivamente consumido.</w:t>
            </w:r>
          </w:p>
        </w:tc>
      </w:tr>
      <w:tr>
        <w:tc>
          <w:tcPr>
            <w:tcW w:type="dxa" w:w="2800"/>
            <w:tcMar>
              <w:top w:type="dxa" w:w="100"/>
              <w:left w:type="dxa" w:w="120"/>
              <w:bottom w:type="dxa" w:w="100"/>
              <w:right w:type="dxa" w:w="120"/>
            </w:tcMar>
            <w:vAlign w:val="center"/>
          </w:tcPr>
          <w:p>
            <w:pPr>
              <w:jc w:val="left"/>
            </w:pPr>
            <w:r>
              <w:rPr>
                <w:b w:val="false"/>
                <w:bCs w:val="false"/>
                <w:color w:val="000000"/>
                <w:sz w:val="19"/>
                <w:szCs w:val="19"/>
              </w:rPr>
              <w:t xml:space="preserve">Complexidade de sistemas monolíticos</w:t>
            </w:r>
          </w:p>
        </w:tc>
        <w:tc>
          <w:tcPr>
            <w:tcW w:type="dxa" w:w="2350"/>
            <w:tcMar>
              <w:top w:type="dxa" w:w="100"/>
              <w:left w:type="dxa" w:w="120"/>
              <w:bottom w:type="dxa" w:w="100"/>
              <w:right w:type="dxa" w:w="120"/>
            </w:tcMar>
            <w:vAlign w:val="center"/>
          </w:tcPr>
          <w:p>
            <w:pPr>
              <w:jc w:val="left"/>
            </w:pPr>
            <w:r>
              <w:rPr>
                <w:b w:val="false"/>
                <w:bCs w:val="false"/>
                <w:color w:val="000000"/>
                <w:sz w:val="19"/>
                <w:szCs w:val="19"/>
              </w:rPr>
              <w:t xml:space="preserve">Arquitetura de microsserviços + orquestração</w:t>
            </w:r>
          </w:p>
        </w:tc>
        <w:tc>
          <w:tcPr>
            <w:tcW w:type="dxa" w:w="4200"/>
            <w:tcMar>
              <w:top w:type="dxa" w:w="100"/>
              <w:left w:type="dxa" w:w="120"/>
              <w:bottom w:type="dxa" w:w="100"/>
              <w:right w:type="dxa" w:w="120"/>
            </w:tcMar>
            <w:vAlign w:val="center"/>
          </w:tcPr>
          <w:p>
            <w:pPr>
              <w:jc w:val="left"/>
            </w:pPr>
            <w:r>
              <w:rPr>
                <w:b w:val="false"/>
                <w:bCs w:val="false"/>
                <w:color w:val="000000"/>
                <w:sz w:val="19"/>
                <w:szCs w:val="19"/>
              </w:rPr>
              <w:t xml:space="preserve">Decomposição em serviços independentes, empacotados em containers e orquestrados via Kubernetes, favorece escalabilidade e times autônomos.</w:t>
            </w:r>
          </w:p>
        </w:tc>
      </w:tr>
      <w:tr>
        <w:tc>
          <w:tcPr>
            <w:tcW w:type="dxa" w:w="28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Dificuldade de medir e cumprir SLAs em ambientes distribuídos</w:t>
            </w:r>
          </w:p>
        </w:tc>
        <w:tc>
          <w:tcPr>
            <w:tcW w:type="dxa" w:w="23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Observabilidade e AIOps</w:t>
            </w:r>
          </w:p>
        </w:tc>
        <w:tc>
          <w:tcPr>
            <w:tcW w:type="dxa" w:w="42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Métricas, logs e rastros distribuídos (tracing), aliados a alertas orientados por IA, permitem detectar violações de SLO antes que se tornem violações de SLA.</w:t>
            </w:r>
          </w:p>
        </w:tc>
      </w:tr>
      <w:tr>
        <w:tc>
          <w:tcPr>
            <w:tcW w:type="dxa" w:w="2800"/>
            <w:tcMar>
              <w:top w:type="dxa" w:w="100"/>
              <w:left w:type="dxa" w:w="120"/>
              <w:bottom w:type="dxa" w:w="100"/>
              <w:right w:type="dxa" w:w="120"/>
            </w:tcMar>
            <w:vAlign w:val="center"/>
          </w:tcPr>
          <w:p>
            <w:pPr>
              <w:jc w:val="left"/>
            </w:pPr>
            <w:r>
              <w:rPr>
                <w:b w:val="false"/>
                <w:bCs w:val="false"/>
                <w:color w:val="000000"/>
                <w:sz w:val="19"/>
                <w:szCs w:val="19"/>
              </w:rPr>
              <w:t xml:space="preserve">Latência para usuários e dispositivos geograficamente dispersos</w:t>
            </w:r>
          </w:p>
        </w:tc>
        <w:tc>
          <w:tcPr>
            <w:tcW w:type="dxa" w:w="2350"/>
            <w:tcMar>
              <w:top w:type="dxa" w:w="100"/>
              <w:left w:type="dxa" w:w="120"/>
              <w:bottom w:type="dxa" w:w="100"/>
              <w:right w:type="dxa" w:w="120"/>
            </w:tcMar>
            <w:vAlign w:val="center"/>
          </w:tcPr>
          <w:p>
            <w:pPr>
              <w:jc w:val="left"/>
            </w:pPr>
            <w:r>
              <w:rPr>
                <w:b w:val="false"/>
                <w:bCs w:val="false"/>
                <w:color w:val="000000"/>
                <w:sz w:val="19"/>
                <w:szCs w:val="19"/>
              </w:rPr>
              <w:t xml:space="preserve">Edge Computing</w:t>
            </w:r>
          </w:p>
        </w:tc>
        <w:tc>
          <w:tcPr>
            <w:tcW w:type="dxa" w:w="4200"/>
            <w:tcMar>
              <w:top w:type="dxa" w:w="100"/>
              <w:left w:type="dxa" w:w="120"/>
              <w:bottom w:type="dxa" w:w="100"/>
              <w:right w:type="dxa" w:w="120"/>
            </w:tcMar>
            <w:vAlign w:val="center"/>
          </w:tcPr>
          <w:p>
            <w:pPr>
              <w:jc w:val="left"/>
            </w:pPr>
            <w:r>
              <w:rPr>
                <w:b w:val="false"/>
                <w:bCs w:val="false"/>
                <w:color w:val="000000"/>
                <w:sz w:val="19"/>
                <w:szCs w:val="19"/>
              </w:rPr>
              <w:t xml:space="preserve">Processamento aproximado da borda da rede reduz latência para aplicações de IoT, streaming e tempo real.</w:t>
            </w:r>
          </w:p>
        </w:tc>
      </w:tr>
      <w:tr>
        <w:tc>
          <w:tcPr>
            <w:tcW w:type="dxa" w:w="28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Gestão de servidores para cargas de trabalho variáveis</w:t>
            </w:r>
          </w:p>
        </w:tc>
        <w:tc>
          <w:tcPr>
            <w:tcW w:type="dxa" w:w="235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Serverless / Function as a Service (FaaS)</w:t>
            </w:r>
          </w:p>
        </w:tc>
        <w:tc>
          <w:tcPr>
            <w:tcW w:type="dxa" w:w="4200"/>
            <w:shd w:fill="DEEAF6" w:val="clear"/>
            <w:tcMar>
              <w:top w:type="dxa" w:w="100"/>
              <w:left w:type="dxa" w:w="120"/>
              <w:bottom w:type="dxa" w:w="100"/>
              <w:right w:type="dxa" w:w="120"/>
            </w:tcMar>
            <w:vAlign w:val="center"/>
          </w:tcPr>
          <w:p>
            <w:pPr>
              <w:jc w:val="left"/>
            </w:pPr>
            <w:r>
              <w:rPr>
                <w:b w:val="false"/>
                <w:bCs w:val="false"/>
                <w:color w:val="000000"/>
                <w:sz w:val="19"/>
                <w:szCs w:val="19"/>
              </w:rPr>
              <w:t xml:space="preserve">Plataformas como AWS Lambda e Azure Functions cobram por execução, eliminando a gestão explícita de servidores.</w:t>
            </w:r>
          </w:p>
        </w:tc>
      </w:tr>
    </w:tbl>
    <w:p>
      <w:pPr>
        <w:spacing w:after="200"/>
      </w:pPr>
    </w:p>
    <w:p>
      <w:pPr>
        <w:spacing w:after="200" w:line="276"/>
        <w:jc w:val="both"/>
      </w:pPr>
      <w:r>
        <w:rPr>
          <w:sz w:val="22"/>
          <w:szCs w:val="22"/>
        </w:rPr>
        <w:t xml:space="preserve">Observa-se que, embora os temas estudados — virtualização, modelos de serviço, microsserviços e SLA — sejam tratados separadamente para fins didáticos, eles se articulam de forma integrada na prática: a virtualização e a conteinerização fornecem a base de execução; os modelos de serviço definem o nível de abstração contratado; a arquitetura de microsserviços define como as aplicações são estruturadas sobre essa base; e os SLAs traduzem, em termos contratuais e mensuráveis, o compromisso de qualidade que sustenta a confiança do cliente em toda essa cadeia tecnológica — com a observabilidade, o FinOps e a inteligência artificial despontando como as práticas que mais devem moldar a evolução da nuvem nos próximos anos.</w:t>
      </w:r>
    </w:p>
    <w:p>
      <w:pPr>
        <w:pStyle w:val="Heading1"/>
        <w:spacing w:after="200" w:before="400"/>
      </w:pPr>
      <w:r>
        <w:rPr>
          <w:b/>
          <w:bCs/>
          <w:color w:val="1F3864"/>
          <w:sz w:val="28"/>
          <w:szCs w:val="28"/>
        </w:rPr>
        <w:t xml:space="preserve">7. CONCLUSÃO</w:t>
      </w:r>
    </w:p>
    <w:p>
      <w:pPr>
        <w:spacing w:after="200" w:line="276"/>
        <w:jc w:val="both"/>
      </w:pPr>
      <w:r>
        <w:rPr>
          <w:sz w:val="22"/>
          <w:szCs w:val="22"/>
        </w:rPr>
        <w:t xml:space="preserve">A sistematização dos temas estudados na disciplina Computação em Nuvem evidencia que a virtualização — de máquinas virtuais a contêineres — constitui o alicerce tecnológico sobre o qual se erguem os modelos de serviço IaaS, PaaS e SaaS, cada um deslocando progressivamente a responsabilidade operacional do cliente para o provedor. Sobre essa infraestrutura, a arquitetura de microsserviços consolidou-se como o padrão predominante para a construção de aplicações modernas, escaláveis e resilientes, ainda que introduza desafios significativos de complexidade distribuída e observabilidade.</w:t>
      </w:r>
    </w:p>
    <w:p>
      <w:pPr>
        <w:spacing w:after="200" w:line="276"/>
        <w:jc w:val="both"/>
      </w:pPr>
      <w:r>
        <w:rPr>
          <w:sz w:val="22"/>
          <w:szCs w:val="22"/>
        </w:rPr>
        <w:t xml:space="preserve">Por fim, os Acordos de Nível de Serviço emergem como o elo contratual que traduz, em métricas objetivas, a confiabilidade prometida por essa arquitetura complexa e distribuída — sendo também o ponto em que os desafios técnicos (monitoramento, dependências em cadeia, responsabilidade compartilhada) se tornam desafios de negócio. As tendências atuais — computação de borda, arquiteturas serverless, práticas de FinOps e observabilidade orientada por inteligência artificial (AIOps) — indicam que a evolução da nuvem caminha para ambientes cada vez mais automatizados, distribuídos e orientados a dados, exigindo do profissional de tecnologia domínio integrado de todos os temas aqui sistematizados.</w:t>
      </w:r>
    </w:p>
    <w:p>
      <w:pPr>
        <w:pStyle w:val="Heading1"/>
        <w:spacing w:after="200" w:before="400"/>
      </w:pPr>
      <w:r>
        <w:rPr>
          <w:b/>
          <w:bCs/>
          <w:color w:val="1F3864"/>
          <w:sz w:val="28"/>
          <w:szCs w:val="28"/>
        </w:rPr>
        <w:t xml:space="preserve">8. REFERÊNCIAS</w:t>
      </w:r>
    </w:p>
    <w:p>
      <w:pPr>
        <w:spacing w:after="200" w:line="276"/>
        <w:ind w:left="0" w:hanging="0"/>
        <w:jc w:val="left"/>
      </w:pPr>
      <w:r>
        <w:rPr>
          <w:sz w:val="22"/>
          <w:szCs w:val="22"/>
        </w:rPr>
        <w:t xml:space="preserve">COUGO, Paulo. ITIL: O Guia da Implantação — Fatores Críticos de Sucesso na Adoção do Gerenciamento de Serviços. 2. ed. Rio de Janeiro: Alta Books, 2013.</w:t>
      </w:r>
    </w:p>
    <w:p>
      <w:pPr>
        <w:spacing w:after="200" w:line="276"/>
        <w:ind w:left="0" w:hanging="0"/>
        <w:jc w:val="left"/>
      </w:pPr>
      <w:r>
        <w:rPr>
          <w:sz w:val="22"/>
          <w:szCs w:val="22"/>
        </w:rPr>
        <w:t xml:space="preserve">BRASIL. Lei nº 13.709, de 14 de agosto de 2018 (Lei Geral de Proteção de Dados Pessoais — LGPD). Disponível em: https://www.planalto.gov.br/ccivil_03/_ato2015-2018/2018/lei/l13709.htm. Acesso em: 2026.</w:t>
      </w:r>
    </w:p>
    <w:p>
      <w:pPr>
        <w:spacing w:after="200" w:line="276"/>
        <w:ind w:left="0" w:hanging="0"/>
        <w:jc w:val="left"/>
      </w:pPr>
      <w:r>
        <w:rPr>
          <w:sz w:val="22"/>
          <w:szCs w:val="22"/>
        </w:rPr>
        <w:t xml:space="preserve">BRASIL. Ministério da Economia. Secretaria de Governo Digital. Instrução Normativa SISP nº 1, de 10 de janeiro de 2019. Dispõe sobre o Plano Anual de Contratações de bens, serviços, obras e soluções de tecnologia da informação e comunicações no âmbito da Administração Pública federal direta, autárquica e fundacional.</w:t>
      </w:r>
    </w:p>
    <w:p>
      <w:pPr>
        <w:spacing w:after="200" w:line="276"/>
        <w:ind w:left="0" w:hanging="0"/>
        <w:jc w:val="left"/>
      </w:pPr>
      <w:r>
        <w:rPr>
          <w:sz w:val="22"/>
          <w:szCs w:val="22"/>
        </w:rPr>
        <w:t xml:space="preserve">ISO/IEC 27001:2022. Information security, cybersecurity and privacy protection — Information security management systems — Requirements. International Organization for Standardization, 2022.</w:t>
      </w:r>
    </w:p>
    <w:p>
      <w:pPr>
        <w:spacing w:after="200" w:line="276"/>
        <w:ind w:left="0" w:hanging="0"/>
        <w:jc w:val="left"/>
      </w:pPr>
      <w:r>
        <w:rPr>
          <w:sz w:val="22"/>
          <w:szCs w:val="22"/>
        </w:rPr>
        <w:t xml:space="preserve">AMAZON WEB SERVICES. AWS Well-Architected Framework. Disponível em: https://aws.amazon.com/architecture/well-architected/. Acesso em: 2026.</w:t>
      </w:r>
    </w:p>
    <w:p>
      <w:pPr>
        <w:spacing w:after="200" w:line="276"/>
        <w:ind w:left="0" w:hanging="0"/>
        <w:jc w:val="left"/>
      </w:pPr>
      <w:r>
        <w:rPr>
          <w:sz w:val="22"/>
          <w:szCs w:val="22"/>
        </w:rPr>
        <w:t xml:space="preserve">MICROSOFT. Cloud Adoption Framework for Azure. Disponível em: https://learn.microsoft.com/pt-br/azure/cloud-adoption-framework/. Acesso em: 2026.</w:t>
      </w:r>
    </w:p>
    <w:p>
      <w:pPr>
        <w:spacing w:after="200" w:line="276"/>
        <w:ind w:left="0" w:hanging="0"/>
        <w:jc w:val="left"/>
      </w:pPr>
      <w:r>
        <w:rPr>
          <w:sz w:val="22"/>
          <w:szCs w:val="22"/>
        </w:rPr>
        <w:t xml:space="preserve">SOUZA NETO, Manoel Veras de. Cloud Computing: Nova Arquitetura da TI. Rio de Janeiro: Brasport, 2016.</w:t>
      </w:r>
    </w:p>
    <w:p>
      <w:pPr>
        <w:spacing w:after="200" w:line="276"/>
        <w:ind w:left="0" w:hanging="0"/>
        <w:jc w:val="left"/>
      </w:pPr>
      <w:r>
        <w:rPr>
          <w:sz w:val="22"/>
          <w:szCs w:val="22"/>
        </w:rPr>
        <w:t xml:space="preserve">MELL, Peter; GRANCE, Timothy. The NIST Definition of Cloud Computing. National Institute of Standards and Technology, Special Publication 800-145. Disponível em: https://nvlpubs.nist.gov/nistpubs/Legacy/SP/nistspecialpublication800-145.pdf. Acesso em: 2026.</w:t>
      </w:r>
    </w:p>
    <w:p>
      <w:pPr>
        <w:spacing w:after="200" w:line="276"/>
        <w:ind w:left="0" w:hanging="0"/>
        <w:jc w:val="left"/>
      </w:pPr>
      <w:r>
        <w:rPr>
          <w:sz w:val="22"/>
          <w:szCs w:val="22"/>
        </w:rPr>
        <w:t xml:space="preserve">MELL, Peter; GRANCE, Timothy. The NIST Definition of Cloud Computing. Communications of the ACM, v. 53, n. 6, p. 50, 2010.</w:t>
      </w:r>
    </w:p>
    <w:p>
      <w:pPr>
        <w:spacing w:after="200" w:line="276"/>
        <w:ind w:left="0" w:hanging="0"/>
        <w:jc w:val="left"/>
      </w:pPr>
      <w:r>
        <w:rPr>
          <w:sz w:val="22"/>
          <w:szCs w:val="22"/>
        </w:rPr>
        <w:t xml:space="preserve">AMAZON WEB SERVICES. What is Cloud Computing? Disponível em: https://aws.amazon.com/what-is-cloud-computing/. Acesso em: 2026.</w:t>
      </w:r>
    </w:p>
    <w:p>
      <w:pPr>
        <w:spacing w:after="200" w:line="276"/>
        <w:ind w:left="0" w:hanging="0"/>
        <w:jc w:val="left"/>
      </w:pPr>
      <w:r>
        <w:rPr>
          <w:sz w:val="22"/>
          <w:szCs w:val="22"/>
        </w:rPr>
        <w:t xml:space="preserve">AMAZON WEB SERVICES. Amazon S3 — Armazenamento de objetos. Disponível em: https://aws.amazon.com/pt/s3/. Acesso em: 2026.</w:t>
      </w:r>
    </w:p>
    <w:p>
      <w:pPr>
        <w:spacing w:after="200" w:line="276"/>
        <w:ind w:left="0" w:hanging="0"/>
        <w:jc w:val="left"/>
      </w:pPr>
      <w:r>
        <w:rPr>
          <w:sz w:val="22"/>
          <w:szCs w:val="22"/>
        </w:rPr>
        <w:t xml:space="preserve">AMAZON WEB SERVICES. AWS Lambda — Computação sem servidor. Disponível em: https://aws.amazon.com/pt/lambda/. Acesso em: 2026.</w:t>
      </w:r>
    </w:p>
    <w:p>
      <w:pPr>
        <w:spacing w:after="200" w:line="276"/>
        <w:ind w:left="0" w:hanging="0"/>
        <w:jc w:val="left"/>
      </w:pPr>
      <w:r>
        <w:rPr>
          <w:sz w:val="22"/>
          <w:szCs w:val="22"/>
        </w:rPr>
        <w:t xml:space="preserve">MICROSOFT. What is Azure Service Level Agreements (SLA)? Disponível em: https://azure.microsoft.com/en-us/support/legal/sla/. Acesso em: 2026.</w:t>
      </w:r>
    </w:p>
    <w:p>
      <w:pPr>
        <w:spacing w:after="200" w:line="276"/>
        <w:ind w:left="0" w:hanging="0"/>
        <w:jc w:val="left"/>
      </w:pPr>
      <w:r>
        <w:rPr>
          <w:sz w:val="22"/>
          <w:szCs w:val="22"/>
        </w:rPr>
        <w:t xml:space="preserve">GOOGLE CLOUD. Site Reliability Engineering — Service Level Objectives. Disponível em: https://sre.google/sre-book/service-level-objectives/. Acesso em: 2026.</w:t>
      </w:r>
    </w:p>
    <w:p>
      <w:pPr>
        <w:spacing w:after="200" w:line="276"/>
        <w:ind w:left="0" w:hanging="0"/>
        <w:jc w:val="left"/>
      </w:pPr>
      <w:r>
        <w:rPr>
          <w:sz w:val="22"/>
          <w:szCs w:val="22"/>
        </w:rPr>
        <w:t xml:space="preserve">MONTEIRO, Andreia; TEIXEIRA, Cesar; PINTO, José Sousa. Sky computing: exploring the aggregated cloud resources. Cluster Computing, v. 20, p. 621, 2017.</w:t>
      </w:r>
    </w:p>
    <w:p>
      <w:pPr>
        <w:spacing w:after="200" w:line="276"/>
        <w:ind w:left="0" w:hanging="0"/>
        <w:jc w:val="left"/>
      </w:pPr>
      <w:r>
        <w:rPr>
          <w:sz w:val="22"/>
          <w:szCs w:val="22"/>
        </w:rPr>
        <w:t xml:space="preserve">GOOGLE. Site Reliability Engineering (SRE). Disponível em: https://sre.google/. Acesso em: 2026.</w:t>
      </w:r>
    </w:p>
    <w:p>
      <w:pPr>
        <w:spacing w:after="200" w:line="276"/>
        <w:ind w:left="0" w:hanging="0"/>
        <w:jc w:val="left"/>
      </w:pPr>
      <w:r>
        <w:rPr>
          <w:sz w:val="22"/>
          <w:szCs w:val="22"/>
        </w:rPr>
        <w:t xml:space="preserve">NEWMAN, Sam. Building Microservices: Designing Fine-Grained Systems. 2. ed. Sebastopol: O'Reilly Media, 2021.</w:t>
      </w:r>
    </w:p>
    <w:p>
      <w:pPr>
        <w:spacing w:after="200" w:line="276"/>
        <w:ind w:left="0" w:hanging="0"/>
        <w:jc w:val="left"/>
      </w:pPr>
      <w:r>
        <w:rPr>
          <w:sz w:val="22"/>
          <w:szCs w:val="22"/>
        </w:rPr>
        <w:t xml:space="preserve">FOWLER, Martin; LEWIS, James. Microservices: a definition of this new architectural term. Disponível em: https://martinfowler.com/articles/microservices.html. Acesso em: 2026.</w:t>
      </w:r>
    </w:p>
    <w:p>
      <w:pPr>
        <w:spacing w:after="200" w:line="276"/>
        <w:ind w:left="0" w:hanging="0"/>
        <w:jc w:val="left"/>
      </w:pPr>
      <w:r>
        <w:rPr>
          <w:sz w:val="22"/>
          <w:szCs w:val="22"/>
        </w:rPr>
        <w:t xml:space="preserve">KUBERNETES. Documentation. Cloud Native Computing Foundation. Disponível em: https://kubernetes.io/docs/. Acesso em: 2026.</w:t>
      </w:r>
    </w:p>
    <w:p>
      <w:pPr>
        <w:spacing w:after="200" w:line="276"/>
        <w:ind w:left="0" w:hanging="0"/>
        <w:jc w:val="left"/>
      </w:pPr>
      <w:r>
        <w:rPr>
          <w:sz w:val="22"/>
          <w:szCs w:val="22"/>
        </w:rPr>
        <w:t xml:space="preserve">RED HAT. O que é orquestração de contêineres? Disponível em: https://www.redhat.com/pt-br/topics/containers/what-is-container-orchestration. Acesso em: 2026.</w:t>
      </w:r>
    </w:p>
    <w:p>
      <w:pPr>
        <w:spacing w:after="200" w:line="276"/>
        <w:ind w:left="0" w:hanging="0"/>
        <w:jc w:val="left"/>
      </w:pPr>
      <w:r>
        <w:rPr>
          <w:sz w:val="22"/>
          <w:szCs w:val="22"/>
        </w:rPr>
        <w:t xml:space="preserve">BACHIEGA JR., João. Computação em Nuvem — Webaulas 01 a 08: Conceitos, Características Essenciais, Modelos, Virtualização, Arquiteturas de Aplicação, Governança, Serviços de Computação, Redes, Disponibilidade, Observabilidade, Custos, FinOps, Green IT, Inteligência Artificial, Acordos de Nível de Serviço, Segurança e Compliance na Nuvem. UNICEUB EAD, 2026.</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2026-09-17T11:42:46.692Z</dcterms:created>
  <dcterms:modified xsi:type="dcterms:W3CDTF">2026-09-17T11:42:46.699Z</dcterms:modified>
</cp:coreProperties>
</file>

<file path=docProps/custom.xml><?xml version="1.0" encoding="utf-8"?>
<Properties xmlns="http://schemas.openxmlformats.org/officeDocument/2006/custom-properties" xmlns:vt="http://schemas.openxmlformats.org/officeDocument/2006/docPropsVTypes"/>
</file>