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C3AB" w14:textId="1176447D"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sz w:val="32"/>
          <w:szCs w:val="32"/>
          <w14:ligatures w14:val="none"/>
        </w:rPr>
      </w:pPr>
      <w:r w:rsidRPr="00892B16">
        <w:rPr>
          <w:rFonts w:ascii="Times New Roman" w:eastAsia="Times New Roman" w:hAnsi="Times New Roman" w:cs="Times New Roman"/>
          <w:b/>
          <w:bCs/>
          <w:color w:val="000000"/>
          <w:kern w:val="36"/>
          <w:sz w:val="32"/>
          <w:szCs w:val="32"/>
          <w14:ligatures w14:val="none"/>
        </w:rPr>
        <w:t>Identificación de patrones de evasión tributaria en Colombia mediante técnicas de aprendizaje no supervisado</w:t>
      </w:r>
    </w:p>
    <w:p w14:paraId="6D7632FD" w14:textId="77777777"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Integrantes:</w:t>
      </w:r>
    </w:p>
    <w:p w14:paraId="6A8EF2C4" w14:textId="77777777" w:rsidR="00892B16" w:rsidRPr="00892B16" w:rsidRDefault="00892B16" w:rsidP="00892B1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Edgardo Sánchez</w:t>
      </w:r>
    </w:p>
    <w:p w14:paraId="090447C3" w14:textId="77777777" w:rsidR="00892B16" w:rsidRPr="00892B16" w:rsidRDefault="00892B16" w:rsidP="00892B1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Juan Medina</w:t>
      </w:r>
    </w:p>
    <w:p w14:paraId="0441AF4D" w14:textId="77777777" w:rsidR="00892B16" w:rsidRPr="00892B16" w:rsidRDefault="00892B16" w:rsidP="00892B1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Manuel Alarcón</w:t>
      </w:r>
    </w:p>
    <w:p w14:paraId="458A927C" w14:textId="77777777" w:rsidR="00892B16" w:rsidRP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892B16">
        <w:rPr>
          <w:rFonts w:ascii="Times New Roman" w:eastAsia="Times New Roman" w:hAnsi="Times New Roman" w:cs="Times New Roman"/>
          <w:b/>
          <w:bCs/>
          <w:color w:val="000000"/>
          <w:kern w:val="0"/>
          <w:sz w:val="36"/>
          <w:szCs w:val="36"/>
          <w14:ligatures w14:val="none"/>
        </w:rPr>
        <w:t>Introducción</w:t>
      </w:r>
    </w:p>
    <w:p w14:paraId="70228A6B" w14:textId="77777777"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La evasión tributaria es uno de los problemas más críticos de la economía colombiana. Según la OCDE (2023), el país pierde entre el 3% y el 5% del PIB anual en ingresos fiscales debido a prácticas de evasión, principalmente en el IVA y el impuesto de renta de las personas jurídicas. Este fenómeno reduce la capacidad del Estado para financiar políticas sociales y limita el impacto redistributivo del sistema tributario.</w:t>
      </w:r>
    </w:p>
    <w:p w14:paraId="78250FDF" w14:textId="7882C519"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Los métodos tradicionales de control, como auditorías selectivas o cruces manuales, son costosos y limitados. La inteligencia artificial, y en particular las técnicas de aprendizaje automático no supervisado ofrecen una alternativa para detectar patrones complejos en grandes volúmenes de datos y focalizar la fiscalización en perfiles de mayor riesgo.</w:t>
      </w:r>
    </w:p>
    <w:p w14:paraId="40253F8E" w14:textId="2C1ED50A" w:rsidR="00892B16" w:rsidRPr="004A6799" w:rsidRDefault="00892B16" w:rsidP="004A6799">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El objetivo de este proyecto es aplicar métodos de clustering (K-means), reducción de dimensionalidad (PCA) y reglas de asociación (Apriori) a datos abiertos de la DIAN, el DANE y fuentes académicas, con el fin de identificar perfiles y combinaciones de factores asociados a la evasión tributaria en Colombia.</w:t>
      </w:r>
    </w:p>
    <w:p w14:paraId="7004113C" w14:textId="77777777" w:rsidR="00892B16" w:rsidRP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892B16">
        <w:rPr>
          <w:rFonts w:ascii="Times New Roman" w:eastAsia="Times New Roman" w:hAnsi="Times New Roman" w:cs="Times New Roman"/>
          <w:b/>
          <w:bCs/>
          <w:color w:val="000000"/>
          <w:kern w:val="0"/>
          <w:sz w:val="36"/>
          <w:szCs w:val="36"/>
          <w14:ligatures w14:val="none"/>
        </w:rPr>
        <w:t>Marco conceptual</w:t>
      </w:r>
    </w:p>
    <w:p w14:paraId="67162527" w14:textId="77777777"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La evasión tributaria se define como el incumplimiento intencional de obligaciones fiscales, mientras que la elusión consiste en aprovechar vacíos legales para reducir la carga tributaria (Torgler, 2016). La literatura de economía pública señala que el cumplimiento depende de la relación entre el beneficio esperado de evadir y el costo esperado de ser detectado y sancionado.</w:t>
      </w:r>
    </w:p>
    <w:p w14:paraId="579C3AD5" w14:textId="77777777"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No obstante, este costo percibido depende de múltiples factores: confianza en las instituciones, percepción de corrupción, nivel de informalidad laboral y capacidad económica de los contribuyentes (Banco Mundial, 2025). En Colombia, donde la informalidad laboral supera el 55% y los niveles de desconfianza institucional son elevados (DANE, 2024), la evasión es también un reflejo de problemas estructurales y culturales.</w:t>
      </w:r>
    </w:p>
    <w:p w14:paraId="093A0CAE" w14:textId="35DF9C47" w:rsidR="00892B16" w:rsidRPr="004A6799" w:rsidRDefault="00892B16" w:rsidP="004A6799">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En el plano internacional, la aplicación de IA en tributación se ha enfocado en fraude financiero y evasión en sistemas con alta digitalización. Para Colombia, donde los sistemas de información aún presentan rezagos, explorar estas herramientas es una oportunidad de modernización y eficiencia.</w:t>
      </w:r>
    </w:p>
    <w:p w14:paraId="13051B1F" w14:textId="77777777" w:rsid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892B16">
        <w:rPr>
          <w:rFonts w:ascii="Times New Roman" w:eastAsia="Times New Roman" w:hAnsi="Times New Roman" w:cs="Times New Roman"/>
          <w:b/>
          <w:bCs/>
          <w:color w:val="000000"/>
          <w:kern w:val="0"/>
          <w:sz w:val="36"/>
          <w:szCs w:val="36"/>
          <w14:ligatures w14:val="none"/>
        </w:rPr>
        <w:lastRenderedPageBreak/>
        <w:t>Metodología</w:t>
      </w:r>
    </w:p>
    <w:p w14:paraId="741DDA17" w14:textId="08EE8F83" w:rsidR="00CA4E2A" w:rsidRPr="00CA4E2A" w:rsidRDefault="00CA4E2A" w:rsidP="00892B16">
      <w:pPr>
        <w:spacing w:before="100" w:beforeAutospacing="1" w:after="100" w:afterAutospacing="1" w:line="240" w:lineRule="auto"/>
        <w:jc w:val="both"/>
        <w:outlineLvl w:val="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Para este proyecto elegimos técnicas no supervisadas porque no contamos con una variable que indique explícitamente </w:t>
      </w:r>
      <w:r w:rsidR="00FD1DEC">
        <w:rPr>
          <w:rFonts w:ascii="Times New Roman" w:eastAsia="Times New Roman" w:hAnsi="Times New Roman" w:cs="Times New Roman"/>
          <w:color w:val="000000"/>
          <w:kern w:val="0"/>
          <w14:ligatures w14:val="none"/>
        </w:rPr>
        <w:t xml:space="preserve">quien evade y quien no. En ese sentido, K-means permite encontrar grupos de territorios que se parecen entre sí en términos de comportamiento tributario. PCA nos ayuda a reducir la cantidad de variables y a identificar factores más generales como informalidad, capacidad económica o confianza institucional. Finalmente, con Apriori buscamos combinaciones frecuentes de características que puedan relacionarse con patrones de evasión. Estas herramientas nos permiten explorar el problema sin asumir nada previamente y dejar que los datos “hablen”. </w:t>
      </w:r>
    </w:p>
    <w:p w14:paraId="45EE38AC" w14:textId="589594F1" w:rsidR="00892B16" w:rsidRPr="00892B16" w:rsidRDefault="00FD1DEC"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Continuamente, e</w:t>
      </w:r>
      <w:r w:rsidR="00892B16" w:rsidRPr="00892B16">
        <w:rPr>
          <w:rFonts w:ascii="Times New Roman" w:eastAsia="Times New Roman" w:hAnsi="Times New Roman" w:cs="Times New Roman"/>
          <w:color w:val="000000"/>
          <w:kern w:val="0"/>
          <w14:ligatures w14:val="none"/>
        </w:rPr>
        <w:t>l proyecto se desarrolló</w:t>
      </w:r>
      <w:r w:rsidR="00E70BD9">
        <w:rPr>
          <w:rFonts w:ascii="Times New Roman" w:eastAsia="Times New Roman" w:hAnsi="Times New Roman" w:cs="Times New Roman"/>
          <w:color w:val="000000"/>
          <w:kern w:val="0"/>
          <w14:ligatures w14:val="none"/>
        </w:rPr>
        <w:t xml:space="preserve"> </w:t>
      </w:r>
      <w:r w:rsidR="00892B16" w:rsidRPr="00892B16">
        <w:rPr>
          <w:rFonts w:ascii="Times New Roman" w:eastAsia="Times New Roman" w:hAnsi="Times New Roman" w:cs="Times New Roman"/>
          <w:color w:val="000000"/>
          <w:kern w:val="0"/>
          <w14:ligatures w14:val="none"/>
        </w:rPr>
        <w:t>en </w:t>
      </w:r>
      <w:r w:rsidR="00892B16" w:rsidRPr="00E70BD9">
        <w:rPr>
          <w:rFonts w:ascii="Times New Roman" w:eastAsia="Times New Roman" w:hAnsi="Times New Roman" w:cs="Times New Roman"/>
          <w:color w:val="000000"/>
          <w:kern w:val="0"/>
          <w14:ligatures w14:val="none"/>
        </w:rPr>
        <w:t>Python,</w:t>
      </w:r>
      <w:r w:rsidR="00892B16" w:rsidRPr="00892B16">
        <w:rPr>
          <w:rFonts w:ascii="Times New Roman" w:eastAsia="Times New Roman" w:hAnsi="Times New Roman" w:cs="Times New Roman"/>
          <w:color w:val="000000"/>
          <w:kern w:val="0"/>
          <w14:ligatures w14:val="none"/>
        </w:rPr>
        <w:t xml:space="preserve"> utilizando librerías como pandas, numpy, scikit-learn y mlxtend.</w:t>
      </w:r>
    </w:p>
    <w:p w14:paraId="5F00F21A" w14:textId="77777777" w:rsidR="00892B16" w:rsidRPr="00892B16" w:rsidRDefault="00892B16" w:rsidP="00892B16">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892B16">
        <w:rPr>
          <w:rFonts w:ascii="Times New Roman" w:eastAsia="Times New Roman" w:hAnsi="Times New Roman" w:cs="Times New Roman"/>
          <w:b/>
          <w:bCs/>
          <w:color w:val="000000"/>
          <w:kern w:val="0"/>
          <w:sz w:val="27"/>
          <w:szCs w:val="27"/>
          <w14:ligatures w14:val="none"/>
        </w:rPr>
        <w:t>Fuentes de datos</w:t>
      </w:r>
    </w:p>
    <w:p w14:paraId="4254C48F" w14:textId="77777777" w:rsidR="00892B16" w:rsidRPr="00892B16" w:rsidRDefault="00892B16" w:rsidP="00892B1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DIAN</w:t>
      </w:r>
      <w:r w:rsidRPr="00892B16">
        <w:rPr>
          <w:rFonts w:ascii="Times New Roman" w:eastAsia="Times New Roman" w:hAnsi="Times New Roman" w:cs="Times New Roman"/>
          <w:color w:val="000000"/>
          <w:kern w:val="0"/>
          <w14:ligatures w14:val="none"/>
        </w:rPr>
        <w:t>: estadísticas de recaudo, sanciones y registros del RUT.</w:t>
      </w:r>
    </w:p>
    <w:p w14:paraId="4905781E" w14:textId="77777777" w:rsidR="00892B16" w:rsidRPr="00892B16" w:rsidRDefault="00892B16" w:rsidP="00892B1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DANE</w:t>
      </w:r>
      <w:r w:rsidRPr="00892B16">
        <w:rPr>
          <w:rFonts w:ascii="Times New Roman" w:eastAsia="Times New Roman" w:hAnsi="Times New Roman" w:cs="Times New Roman"/>
          <w:color w:val="000000"/>
          <w:kern w:val="0"/>
          <w14:ligatures w14:val="none"/>
        </w:rPr>
        <w:t>: GEIH (informalidad), Encuesta Pulso Social, datos de ingresos y gastos.</w:t>
      </w:r>
    </w:p>
    <w:p w14:paraId="71DDEC64" w14:textId="77777777" w:rsidR="00892B16" w:rsidRPr="00892B16" w:rsidRDefault="00892B16" w:rsidP="00892B1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Transparencia Internacional / Transparencia por Colombia</w:t>
      </w:r>
      <w:r w:rsidRPr="00892B16">
        <w:rPr>
          <w:rFonts w:ascii="Times New Roman" w:eastAsia="Times New Roman" w:hAnsi="Times New Roman" w:cs="Times New Roman"/>
          <w:color w:val="000000"/>
          <w:kern w:val="0"/>
          <w14:ligatures w14:val="none"/>
        </w:rPr>
        <w:t>: índices de percepción de corrupción.</w:t>
      </w:r>
    </w:p>
    <w:p w14:paraId="69C29BD5" w14:textId="77777777" w:rsidR="00892B16" w:rsidRPr="00892B16" w:rsidRDefault="00892B16" w:rsidP="00892B1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LAPOP – AmericasBarometer</w:t>
      </w:r>
      <w:r w:rsidRPr="00892B16">
        <w:rPr>
          <w:rFonts w:ascii="Times New Roman" w:eastAsia="Times New Roman" w:hAnsi="Times New Roman" w:cs="Times New Roman"/>
          <w:color w:val="000000"/>
          <w:kern w:val="0"/>
          <w14:ligatures w14:val="none"/>
        </w:rPr>
        <w:t>: confianza en instituciones y cultura tributaria.</w:t>
      </w:r>
    </w:p>
    <w:p w14:paraId="69E11C9C" w14:textId="77777777" w:rsidR="00892B16" w:rsidRPr="00892B16" w:rsidRDefault="00892B16" w:rsidP="00892B1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Banco Mundial</w:t>
      </w:r>
      <w:r w:rsidRPr="00892B16">
        <w:rPr>
          <w:rFonts w:ascii="Times New Roman" w:eastAsia="Times New Roman" w:hAnsi="Times New Roman" w:cs="Times New Roman"/>
          <w:color w:val="000000"/>
          <w:kern w:val="0"/>
          <w14:ligatures w14:val="none"/>
        </w:rPr>
        <w:t>: indicadores de gobernanza.</w:t>
      </w:r>
    </w:p>
    <w:p w14:paraId="7C136B87" w14:textId="77777777" w:rsidR="00892B16" w:rsidRPr="00892B16" w:rsidRDefault="00892B16" w:rsidP="00892B16">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892B16">
        <w:rPr>
          <w:rFonts w:ascii="Times New Roman" w:eastAsia="Times New Roman" w:hAnsi="Times New Roman" w:cs="Times New Roman"/>
          <w:b/>
          <w:bCs/>
          <w:color w:val="000000"/>
          <w:kern w:val="0"/>
          <w:sz w:val="27"/>
          <w:szCs w:val="27"/>
          <w14:ligatures w14:val="none"/>
        </w:rPr>
        <w:t>Variables proxy</w:t>
      </w:r>
    </w:p>
    <w:p w14:paraId="1011189A"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Carga tributaria relativa</w:t>
      </w:r>
      <w:r w:rsidRPr="00892B16">
        <w:rPr>
          <w:rFonts w:ascii="Times New Roman" w:eastAsia="Times New Roman" w:hAnsi="Times New Roman" w:cs="Times New Roman"/>
          <w:color w:val="000000"/>
          <w:kern w:val="0"/>
          <w14:ligatures w14:val="none"/>
        </w:rPr>
        <w:t> = impuestos recaudados / PIB regional.</w:t>
      </w:r>
    </w:p>
    <w:p w14:paraId="7AE9777A"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Capacidad económica</w:t>
      </w:r>
      <w:r w:rsidRPr="00892B16">
        <w:rPr>
          <w:rFonts w:ascii="Times New Roman" w:eastAsia="Times New Roman" w:hAnsi="Times New Roman" w:cs="Times New Roman"/>
          <w:color w:val="000000"/>
          <w:kern w:val="0"/>
          <w14:ligatures w14:val="none"/>
        </w:rPr>
        <w:t> = ingreso per cápita.</w:t>
      </w:r>
    </w:p>
    <w:p w14:paraId="6999719D"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Confianza en el gobierno</w:t>
      </w:r>
      <w:r w:rsidRPr="00892B16">
        <w:rPr>
          <w:rFonts w:ascii="Times New Roman" w:eastAsia="Times New Roman" w:hAnsi="Times New Roman" w:cs="Times New Roman"/>
          <w:color w:val="000000"/>
          <w:kern w:val="0"/>
          <w14:ligatures w14:val="none"/>
        </w:rPr>
        <w:t> = % encuestados con alta confianza institucional.</w:t>
      </w:r>
    </w:p>
    <w:p w14:paraId="3EA87C43"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Percepción de corrupción</w:t>
      </w:r>
      <w:r w:rsidRPr="00892B16">
        <w:rPr>
          <w:rFonts w:ascii="Times New Roman" w:eastAsia="Times New Roman" w:hAnsi="Times New Roman" w:cs="Times New Roman"/>
          <w:color w:val="000000"/>
          <w:kern w:val="0"/>
          <w14:ligatures w14:val="none"/>
        </w:rPr>
        <w:t> = índice de Transparencia Internacional.</w:t>
      </w:r>
    </w:p>
    <w:p w14:paraId="60B3E337"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Informalidad laboral</w:t>
      </w:r>
      <w:r w:rsidRPr="00892B16">
        <w:rPr>
          <w:rFonts w:ascii="Times New Roman" w:eastAsia="Times New Roman" w:hAnsi="Times New Roman" w:cs="Times New Roman"/>
          <w:color w:val="000000"/>
          <w:kern w:val="0"/>
          <w14:ligatures w14:val="none"/>
        </w:rPr>
        <w:t> = % de ocupados sin seguridad social.</w:t>
      </w:r>
    </w:p>
    <w:p w14:paraId="70209CC1"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Sanciones tributarias efectivas</w:t>
      </w:r>
      <w:r w:rsidRPr="00892B16">
        <w:rPr>
          <w:rFonts w:ascii="Times New Roman" w:eastAsia="Times New Roman" w:hAnsi="Times New Roman" w:cs="Times New Roman"/>
          <w:color w:val="000000"/>
          <w:kern w:val="0"/>
          <w14:ligatures w14:val="none"/>
        </w:rPr>
        <w:t> = número de sanciones anuales.</w:t>
      </w:r>
    </w:p>
    <w:p w14:paraId="2E2A87E8"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Tradición tributaria</w:t>
      </w:r>
      <w:r w:rsidRPr="00892B16">
        <w:rPr>
          <w:rFonts w:ascii="Times New Roman" w:eastAsia="Times New Roman" w:hAnsi="Times New Roman" w:cs="Times New Roman"/>
          <w:color w:val="000000"/>
          <w:kern w:val="0"/>
          <w14:ligatures w14:val="none"/>
        </w:rPr>
        <w:t> = evolución de contribuyentes registrados en el RUT.</w:t>
      </w:r>
    </w:p>
    <w:p w14:paraId="30ACA96C" w14:textId="77777777" w:rsidR="00892B16" w:rsidRPr="00892B16" w:rsidRDefault="00892B16" w:rsidP="00892B1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Complejidad normativa</w:t>
      </w:r>
      <w:r w:rsidRPr="00892B16">
        <w:rPr>
          <w:rFonts w:ascii="Times New Roman" w:eastAsia="Times New Roman" w:hAnsi="Times New Roman" w:cs="Times New Roman"/>
          <w:color w:val="000000"/>
          <w:kern w:val="0"/>
          <w14:ligatures w14:val="none"/>
        </w:rPr>
        <w:t> = número de reformas tributarias aprobadas por año.</w:t>
      </w:r>
    </w:p>
    <w:p w14:paraId="6AEC5B6A" w14:textId="77777777" w:rsidR="00892B16" w:rsidRPr="00892B16" w:rsidRDefault="00892B16" w:rsidP="00892B16">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892B16">
        <w:rPr>
          <w:rFonts w:ascii="Times New Roman" w:eastAsia="Times New Roman" w:hAnsi="Times New Roman" w:cs="Times New Roman"/>
          <w:b/>
          <w:bCs/>
          <w:color w:val="000000"/>
          <w:kern w:val="0"/>
          <w:sz w:val="27"/>
          <w:szCs w:val="27"/>
          <w14:ligatures w14:val="none"/>
        </w:rPr>
        <w:t>Técnicas de IA</w:t>
      </w:r>
    </w:p>
    <w:p w14:paraId="087BE0C8" w14:textId="77777777" w:rsidR="00892B16" w:rsidRPr="00892B16" w:rsidRDefault="00892B16" w:rsidP="00892B16">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K-means clustering</w:t>
      </w:r>
      <w:r w:rsidRPr="00892B16">
        <w:rPr>
          <w:rFonts w:ascii="Times New Roman" w:eastAsia="Times New Roman" w:hAnsi="Times New Roman" w:cs="Times New Roman"/>
          <w:color w:val="000000"/>
          <w:kern w:val="0"/>
          <w14:ligatures w14:val="none"/>
        </w:rPr>
        <w:t>: agrupar contribuyentes o regiones según perfiles de riesgo.</w:t>
      </w:r>
    </w:p>
    <w:p w14:paraId="136B0218" w14:textId="77777777" w:rsidR="00892B16" w:rsidRPr="00892B16" w:rsidRDefault="00892B16" w:rsidP="00892B16">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PCA (Análisis de Componentes Principales)</w:t>
      </w:r>
      <w:r w:rsidRPr="00892B16">
        <w:rPr>
          <w:rFonts w:ascii="Times New Roman" w:eastAsia="Times New Roman" w:hAnsi="Times New Roman" w:cs="Times New Roman"/>
          <w:color w:val="000000"/>
          <w:kern w:val="0"/>
          <w14:ligatures w14:val="none"/>
        </w:rPr>
        <w:t>: reducir dimensionalidad y obtener factores latentes.</w:t>
      </w:r>
    </w:p>
    <w:p w14:paraId="0B3C175B" w14:textId="77777777" w:rsidR="00892B16" w:rsidRPr="00892B16" w:rsidRDefault="00892B16" w:rsidP="00892B16">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b/>
          <w:bCs/>
          <w:color w:val="000000"/>
          <w:kern w:val="0"/>
          <w14:ligatures w14:val="none"/>
        </w:rPr>
        <w:t>Apriori (reglas de asociación)</w:t>
      </w:r>
      <w:r w:rsidRPr="00892B16">
        <w:rPr>
          <w:rFonts w:ascii="Times New Roman" w:eastAsia="Times New Roman" w:hAnsi="Times New Roman" w:cs="Times New Roman"/>
          <w:color w:val="000000"/>
          <w:kern w:val="0"/>
          <w14:ligatures w14:val="none"/>
        </w:rPr>
        <w:t>: encontrar combinaciones frecuentes de factores que expliquen patrones de evasión.</w:t>
      </w:r>
    </w:p>
    <w:p w14:paraId="1B58C039" w14:textId="77777777" w:rsidR="00892B16" w:rsidRPr="00892B16" w:rsidRDefault="00892B16" w:rsidP="00892B16">
      <w:p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892B16">
        <w:rPr>
          <w:rFonts w:ascii="Times New Roman" w:eastAsia="Times New Roman" w:hAnsi="Times New Roman" w:cs="Times New Roman"/>
          <w:b/>
          <w:bCs/>
          <w:color w:val="000000"/>
          <w:kern w:val="0"/>
          <w:sz w:val="27"/>
          <w:szCs w:val="27"/>
          <w14:ligatures w14:val="none"/>
        </w:rPr>
        <w:t>Flujo metodológico</w:t>
      </w:r>
    </w:p>
    <w:p w14:paraId="59AA2902" w14:textId="5E7B19BF" w:rsidR="00892B16" w:rsidRPr="004A6799" w:rsidRDefault="00892B16" w:rsidP="004A6799">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Recopilación de datos → limpieza y estandarización → clustering → reducción de dimensiones → generación de reglas de asociación → interpretación económica.</w:t>
      </w:r>
    </w:p>
    <w:p w14:paraId="195DF970" w14:textId="3EF12EF6" w:rsidR="00892B16" w:rsidRP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Observaciones</w:t>
      </w:r>
    </w:p>
    <w:p w14:paraId="453709F7" w14:textId="77777777" w:rsidR="00892B16" w:rsidRPr="00892B16"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Los hallazgos esperados refuerzan que la evasión no depende únicamente de la capacidad de pago, sino de factores sociales e institucionales. En regiones donde la percepción de corrupción es elevada y la confianza en el Estado es baja, los niveles de cumplimiento tienden a ser menores.</w:t>
      </w:r>
    </w:p>
    <w:p w14:paraId="6B861F1F"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La IA aplicada a datos tributarios permite a la DIAN priorizar auditorías en perfiles de riesgo, lo que aumenta la eficiencia del recaudo sin sobrecargar a los contribuyentes cumplidos. Asimismo, los clústeres revelados pueden servir para diseñar políticas diferenciadas:</w:t>
      </w:r>
    </w:p>
    <w:p w14:paraId="1364D2AA" w14:textId="77777777" w:rsidR="00892B16" w:rsidRPr="00E70BD9" w:rsidRDefault="00892B16" w:rsidP="00892B1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Programas de formalización en regiones con alta informalidad.</w:t>
      </w:r>
    </w:p>
    <w:p w14:paraId="1DF2748A" w14:textId="77777777" w:rsidR="00892B16" w:rsidRPr="00E70BD9" w:rsidRDefault="00892B16" w:rsidP="00892B1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Estrategias de comunicación en zonas con baja confianza institucional.</w:t>
      </w:r>
    </w:p>
    <w:p w14:paraId="796D8F1F" w14:textId="77777777" w:rsidR="00892B16" w:rsidRPr="00E70BD9" w:rsidRDefault="00892B16" w:rsidP="00892B1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Simplificación normativa en contextos de alta complejidad tributaria.</w:t>
      </w:r>
    </w:p>
    <w:p w14:paraId="7B1892EB"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El análisis confirma que la evasión es multicausal y heterogénea. Por tanto, no basta con aumentar sanciones: se requiere una estrategia integral que combine tecnología, pedagogía tributaria y transparencia.</w:t>
      </w:r>
    </w:p>
    <w:p w14:paraId="2F7D46A8" w14:textId="77777777" w:rsidR="00FD1DEC" w:rsidRDefault="004A6799" w:rsidP="00FD1DEC">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4A6799">
        <w:rPr>
          <w:rFonts w:ascii="Times New Roman" w:eastAsia="Times New Roman" w:hAnsi="Times New Roman" w:cs="Times New Roman"/>
          <w:b/>
          <w:bCs/>
          <w:color w:val="000000"/>
          <w:kern w:val="0"/>
          <w14:ligatures w14:val="none"/>
        </w:rPr>
        <w:t>EDA</w:t>
      </w:r>
    </w:p>
    <w:p w14:paraId="6BA4C339" w14:textId="2D15918B" w:rsidR="004A6799" w:rsidRPr="00FD1DEC" w:rsidRDefault="004A6799" w:rsidP="00FD1DEC">
      <w:pPr>
        <w:spacing w:before="100" w:beforeAutospacing="1" w:after="100" w:afterAutospacing="1" w:line="240" w:lineRule="auto"/>
        <w:jc w:val="both"/>
        <w:outlineLvl w:val="1"/>
        <w:rPr>
          <w:rFonts w:ascii="Times New Roman" w:eastAsia="Times New Roman" w:hAnsi="Times New Roman" w:cs="Times New Roman"/>
          <w:b/>
          <w:bCs/>
          <w:color w:val="000000"/>
          <w:kern w:val="0"/>
          <w14:ligatures w14:val="none"/>
        </w:rPr>
      </w:pPr>
      <w:r w:rsidRPr="004A6799">
        <w:rPr>
          <w:rFonts w:ascii="Times New Roman" w:hAnsi="Times New Roman" w:cs="Times New Roman"/>
        </w:rPr>
        <w:t>El análisis exploratorio de datos constituye la primera etapa fundamental del proyecto, pues nos permitió transformar una base compleja en un insumo organizado y confiable. El trabajo inició con la depuración de la información tributaria de la DIAN, específicamente el recaudo bruto por seccionales entre 2018 y 2023. En esta fase se eliminaron filas de totales y encabezados innecesarios, se homogeneizaron las unidades —pasando de millones a miles de pesos— y se corrigieron valores faltantes en la variable de año. A continuación, se desarrolló un proceso de normalización territorial mediante el cual las seccionales fueron asociadas a sus respectivos departamentos y se incorporaron los códigos oficiales del DANE. Con estas transformaciones, se consolidó el DataFrame df_impuestos_arreglado, que integra de manera ordenada la información por año, tipo de impuesto y territorio.</w:t>
      </w:r>
    </w:p>
    <w:p w14:paraId="2AE24A62"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noProof/>
        </w:rPr>
        <w:drawing>
          <wp:inline distT="114300" distB="114300" distL="114300" distR="114300" wp14:anchorId="24906A1D" wp14:editId="7CB85E85">
            <wp:extent cx="3378200" cy="2209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417877" cy="2235754"/>
                    </a:xfrm>
                    <a:prstGeom prst="rect">
                      <a:avLst/>
                    </a:prstGeom>
                    <a:ln/>
                  </pic:spPr>
                </pic:pic>
              </a:graphicData>
            </a:graphic>
          </wp:inline>
        </w:drawing>
      </w:r>
    </w:p>
    <w:p w14:paraId="464C6200"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rPr>
        <w:t>Gráfico 1. Elaboración propia con datos del DANE.</w:t>
      </w:r>
    </w:p>
    <w:p w14:paraId="3F6B5C54" w14:textId="41610FD1" w:rsidR="004A6799" w:rsidRPr="004A6799" w:rsidRDefault="004A6799" w:rsidP="004A6799">
      <w:pPr>
        <w:spacing w:before="240" w:after="240"/>
        <w:jc w:val="both"/>
        <w:rPr>
          <w:rFonts w:ascii="Times New Roman" w:hAnsi="Times New Roman" w:cs="Times New Roman"/>
        </w:rPr>
      </w:pPr>
      <w:r w:rsidRPr="004A6799">
        <w:rPr>
          <w:rFonts w:ascii="Times New Roman" w:hAnsi="Times New Roman" w:cs="Times New Roman"/>
        </w:rPr>
        <w:lastRenderedPageBreak/>
        <w:t>Una primera aproximación a los datos puede observarse en la composición del recaudo por tipo de impuesto entre 2018 y 2023. El gráfico evidencia que el sistema tributario colombiano depende en gran medida del IVA y del impuesto de Renta, que constituyen las principales fuentes de ingresos. Las retenciones también aportan un valor considerable, mientras que el grupo de “otros” impuestos se mantiene estable en un nivel menor. Es relevante destacar la caída del recaudo en 2020, asociada a los efectos de la pandemia, seguida de una recuperación en 2021 y un crecimiento sostenido hasta 2023, cuando se superan los 260 billones de pesos. Este comportamiento confirma que el recaudo nacional descansa sobre pocos impuestos, lo que incrementa los riesgos de inequidad y evasión: el IVA por su carácter regresivo y el impuesto de Renta por la posibilidad de evasión más sofisticada.</w:t>
      </w:r>
    </w:p>
    <w:p w14:paraId="14C1E44D"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rPr>
        <w:t>Mapa de Correlación de Impuestos</w:t>
      </w:r>
    </w:p>
    <w:p w14:paraId="6D601305"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noProof/>
        </w:rPr>
        <w:drawing>
          <wp:inline distT="114300" distB="114300" distL="114300" distR="114300" wp14:anchorId="62529342" wp14:editId="5497369B">
            <wp:extent cx="3285067" cy="2540000"/>
            <wp:effectExtent l="0" t="0" r="4445"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314161" cy="2562495"/>
                    </a:xfrm>
                    <a:prstGeom prst="rect">
                      <a:avLst/>
                    </a:prstGeom>
                    <a:ln/>
                  </pic:spPr>
                </pic:pic>
              </a:graphicData>
            </a:graphic>
          </wp:inline>
        </w:drawing>
      </w:r>
    </w:p>
    <w:p w14:paraId="19C697BC"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rPr>
        <w:t>Gráfico 2. Elaboración propia con datos del DANE.</w:t>
      </w:r>
    </w:p>
    <w:p w14:paraId="59D3263F" w14:textId="146F30C8" w:rsidR="004A6799" w:rsidRPr="004A6799" w:rsidRDefault="004A6799" w:rsidP="004A6799">
      <w:pPr>
        <w:spacing w:before="240" w:after="240"/>
        <w:jc w:val="both"/>
        <w:rPr>
          <w:rFonts w:ascii="Times New Roman" w:eastAsia="Arial Unicode MS" w:hAnsi="Times New Roman" w:cs="Times New Roman"/>
        </w:rPr>
      </w:pPr>
      <w:r w:rsidRPr="004A6799">
        <w:rPr>
          <w:rFonts w:ascii="Times New Roman" w:eastAsia="Arial Unicode MS" w:hAnsi="Times New Roman" w:cs="Times New Roman"/>
        </w:rPr>
        <w:t>El segundo análisis se centró en la relación entre las principales categorías de impuestos a través de un mapa de calor de correlaciones. Los resultados muestran una alta interdependencia: la correlación entre Renta e IVA alcanza 0.95, lo que indica que ambos crecen y decrecen de forma conjunta. Las retenciones también exhiben correlaciones altas con estos dos (≈0.84), mientras que el impuesto al consumo se comporta con mayor independencia, aunque mantiene correlaciones todavía elevadas (≈0.74–0.78). Este hallazgo es crucial porque revela que los impuestos no evolucionan de manera aislada, sino que están estrechamente vinculados; en consecuencia, prácticas de evasión o choques económicos en una categoría tienden a tener un efecto indirecto sobre las demás.</w:t>
      </w:r>
    </w:p>
    <w:p w14:paraId="11BDDEFA"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noProof/>
        </w:rPr>
        <w:lastRenderedPageBreak/>
        <w:drawing>
          <wp:inline distT="114300" distB="114300" distL="114300" distR="114300" wp14:anchorId="2D34856C" wp14:editId="52EF3F8C">
            <wp:extent cx="4719638" cy="2602857"/>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4719638" cy="2602857"/>
                    </a:xfrm>
                    <a:prstGeom prst="rect">
                      <a:avLst/>
                    </a:prstGeom>
                    <a:ln/>
                  </pic:spPr>
                </pic:pic>
              </a:graphicData>
            </a:graphic>
          </wp:inline>
        </w:drawing>
      </w:r>
    </w:p>
    <w:p w14:paraId="3C1FE73A" w14:textId="77777777" w:rsidR="004A6799" w:rsidRPr="004A6799" w:rsidRDefault="004A6799" w:rsidP="004A6799">
      <w:pPr>
        <w:spacing w:before="240" w:after="240"/>
        <w:jc w:val="center"/>
        <w:rPr>
          <w:rFonts w:ascii="Times New Roman" w:hAnsi="Times New Roman" w:cs="Times New Roman"/>
        </w:rPr>
      </w:pPr>
      <w:r w:rsidRPr="004A6799">
        <w:rPr>
          <w:rFonts w:ascii="Times New Roman" w:hAnsi="Times New Roman" w:cs="Times New Roman"/>
        </w:rPr>
        <w:t>Gráfico 3. Elaboración propia con datos de la DIAN</w:t>
      </w:r>
    </w:p>
    <w:p w14:paraId="2EF65DB5" w14:textId="77777777" w:rsidR="004A6799" w:rsidRPr="004A6799" w:rsidRDefault="004A6799" w:rsidP="004A6799">
      <w:pPr>
        <w:spacing w:before="240" w:after="240"/>
        <w:jc w:val="both"/>
        <w:rPr>
          <w:rFonts w:ascii="Times New Roman" w:hAnsi="Times New Roman" w:cs="Times New Roman"/>
        </w:rPr>
      </w:pPr>
      <w:r w:rsidRPr="004A6799">
        <w:rPr>
          <w:rFonts w:ascii="Times New Roman" w:hAnsi="Times New Roman" w:cs="Times New Roman"/>
        </w:rPr>
        <w:t>Un tercer aspecto central corresponde al análisis territorial del recaudo, que muestra la concentración de los ingresos tributarios en unas pocas regiones. Bogotá domina ampliamente, con un acumulado de más de 500 billones de pesos en el período 2018–2023, cifra que supera en más de cuatro veces el recaudo de Antioquia (135 billones) y en casi cinco veces el del Valle del Cauca (115 billones). A continuación, se ubican Atlántico (75 billones) y Cundinamarca (68 billones). Este resultado pone en evidencia que la estructura tributaria colombiana es altamente centralizada, lo que obliga a diferenciar el análisis de la evasión según el territorio: en Bogotá y Antioquia, con una base amplia y diversificada, la evasión tiende a ser empresarial y sofisticada; mientras que en departamentos con baja participación, la evasión se relaciona más con la informalidad laboral y la ausencia de contribuyentes formales.</w:t>
      </w:r>
    </w:p>
    <w:p w14:paraId="3C75C717" w14:textId="77777777" w:rsidR="004A6799" w:rsidRPr="004A6799" w:rsidRDefault="004A6799" w:rsidP="004A6799">
      <w:pPr>
        <w:spacing w:before="240" w:after="240"/>
        <w:jc w:val="both"/>
        <w:rPr>
          <w:rFonts w:ascii="Times New Roman" w:hAnsi="Times New Roman" w:cs="Times New Roman"/>
        </w:rPr>
      </w:pPr>
      <w:r w:rsidRPr="004A6799">
        <w:rPr>
          <w:rFonts w:ascii="Times New Roman" w:hAnsi="Times New Roman" w:cs="Times New Roman"/>
        </w:rPr>
        <w:t>Estos hallazgos permiten identificar patrones consistentes con lo planteado en el marco teórico del proyecto. En primer lugar, la existencia de regiones con alta capacidad económica y baja carga tributaria relativa sugiere estrategias de evasión sofisticada. En segundo lugar, la combinación de baja confianza institucional y alta percepción de corrupción disminuye los incentivos al cumplimiento, configurando la evasión como un fenómeno cultural y social. Y en tercer lugar, la informalidad laboral aparece como el canal directo más relevante para el incumplimiento tributario, en particular en lo relacionado con aportes a la seguridad social y tributos personales.</w:t>
      </w:r>
    </w:p>
    <w:p w14:paraId="5649E360" w14:textId="4AB8BC5B" w:rsidR="004A6799" w:rsidRPr="004A6799" w:rsidRDefault="004A6799" w:rsidP="004A6799">
      <w:pPr>
        <w:spacing w:before="240" w:after="240"/>
        <w:jc w:val="both"/>
        <w:rPr>
          <w:rFonts w:ascii="Times New Roman" w:hAnsi="Times New Roman" w:cs="Times New Roman"/>
        </w:rPr>
      </w:pPr>
      <w:r w:rsidRPr="004A6799">
        <w:rPr>
          <w:rFonts w:ascii="Times New Roman" w:hAnsi="Times New Roman" w:cs="Times New Roman"/>
        </w:rPr>
        <w:t>A partir de estas observaciones se plantean tres hipótesis de trabajo: (i) en contextos de baja confianza institucional y alta percepción de corrupción, la evasión tributaria tiende a incrementarse; (ii) la evasión no depende únicamente de la capacidad de pago, sino también de factores sociales e institucionales; y (iii) la informalidad laboral constituye el principal canal directo de evasión, mientras que la corrupción y la confianza institucional actúan como mecanismos indirectos</w:t>
      </w:r>
      <w:r>
        <w:rPr>
          <w:rFonts w:ascii="Times New Roman" w:hAnsi="Times New Roman" w:cs="Times New Roman"/>
        </w:rPr>
        <w:t>.</w:t>
      </w:r>
    </w:p>
    <w:p w14:paraId="78C9288B" w14:textId="2F8F0BC6" w:rsidR="00892B16" w:rsidRDefault="00F512C0" w:rsidP="00FC4160">
      <w:pPr>
        <w:spacing w:after="0" w:line="24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635E5D21" wp14:editId="7F01D836">
            <wp:extent cx="4744016" cy="2742508"/>
            <wp:effectExtent l="0" t="0" r="0" b="1270"/>
            <wp:docPr id="68642458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4581" name="Imagen 1" descr="Gráfico, Gráfico de barras&#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0599" cy="2746314"/>
                    </a:xfrm>
                    <a:prstGeom prst="rect">
                      <a:avLst/>
                    </a:prstGeom>
                    <a:noFill/>
                    <a:ln>
                      <a:noFill/>
                    </a:ln>
                  </pic:spPr>
                </pic:pic>
              </a:graphicData>
            </a:graphic>
          </wp:inline>
        </w:drawing>
      </w:r>
    </w:p>
    <w:p w14:paraId="10D92941" w14:textId="20D2C33D" w:rsidR="00F512C0" w:rsidRDefault="00F512C0" w:rsidP="00FC416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Gráfico 4. Elaboración propia con datos de</w:t>
      </w:r>
      <w:r w:rsidR="00FC4160">
        <w:rPr>
          <w:rFonts w:ascii="Times New Roman" w:eastAsia="Times New Roman" w:hAnsi="Times New Roman" w:cs="Times New Roman"/>
          <w:kern w:val="0"/>
          <w14:ligatures w14:val="none"/>
        </w:rPr>
        <w:t xml:space="preserve"> la DIAN.</w:t>
      </w:r>
    </w:p>
    <w:p w14:paraId="45410EDE" w14:textId="77777777" w:rsidR="00F512C0" w:rsidRDefault="00F512C0" w:rsidP="00892B16">
      <w:pPr>
        <w:spacing w:after="0" w:line="240" w:lineRule="auto"/>
        <w:jc w:val="both"/>
        <w:rPr>
          <w:rFonts w:ascii="Times New Roman" w:eastAsia="Times New Roman" w:hAnsi="Times New Roman" w:cs="Times New Roman"/>
          <w:kern w:val="0"/>
          <w14:ligatures w14:val="none"/>
        </w:rPr>
      </w:pPr>
    </w:p>
    <w:p w14:paraId="2A460D89" w14:textId="7F72F432" w:rsidR="00F512C0" w:rsidRDefault="00F512C0" w:rsidP="00892B16">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Este gráfico muestra cómo la mayor parte del recaudo proviene del Impuesto de Industria y Comercio y del 4x1000. Esto evidencia que el sistema tributario depende principalmente de impuestos más ligados al ingreso (como renta) tienen una participación menor. En economía pública, esta concentración puede indicar dos riesgos: mayor regresividad y posibles espacios de evasión en los impuestos directos, que deberían aportar más en una economía formal.</w:t>
      </w:r>
      <w:r w:rsidR="00852B80">
        <w:rPr>
          <w:rFonts w:ascii="Times New Roman" w:eastAsia="Times New Roman" w:hAnsi="Times New Roman" w:cs="Times New Roman"/>
          <w:kern w:val="0"/>
          <w14:ligatures w14:val="none"/>
        </w:rPr>
        <w:t xml:space="preserve"> Además, cabe aclare que el Impuesto de la Renta para la Equidad solamente </w:t>
      </w:r>
      <w:r w:rsidR="00FC4160">
        <w:rPr>
          <w:rFonts w:ascii="Times New Roman" w:eastAsia="Times New Roman" w:hAnsi="Times New Roman" w:cs="Times New Roman"/>
          <w:kern w:val="0"/>
          <w14:ligatures w14:val="none"/>
        </w:rPr>
        <w:t xml:space="preserve">existió en el 2020, es por ello que no se nota en la gráfica al tener un ponderado casi nulo en comparación con los otros impuestos. </w:t>
      </w:r>
    </w:p>
    <w:p w14:paraId="089263E3" w14:textId="77777777" w:rsidR="00F512C0" w:rsidRDefault="00F512C0" w:rsidP="00892B16">
      <w:pPr>
        <w:spacing w:after="0" w:line="240" w:lineRule="auto"/>
        <w:jc w:val="both"/>
        <w:rPr>
          <w:rFonts w:ascii="Times New Roman" w:eastAsia="Times New Roman" w:hAnsi="Times New Roman" w:cs="Times New Roman"/>
          <w:kern w:val="0"/>
          <w14:ligatures w14:val="none"/>
        </w:rPr>
      </w:pPr>
    </w:p>
    <w:p w14:paraId="16F532BB" w14:textId="36538F75" w:rsidR="00F512C0" w:rsidRDefault="00F512C0" w:rsidP="00FC4160">
      <w:pPr>
        <w:spacing w:after="0" w:line="240" w:lineRule="auto"/>
        <w:jc w:val="center"/>
        <w:rPr>
          <w:rFonts w:ascii="Times New Roman" w:eastAsia="Times New Roman" w:hAnsi="Times New Roman" w:cs="Times New Roman"/>
          <w:kern w:val="0"/>
          <w14:ligatures w14:val="none"/>
        </w:rPr>
      </w:pPr>
      <w:r>
        <w:rPr>
          <w:noProof/>
        </w:rPr>
        <w:drawing>
          <wp:inline distT="0" distB="0" distL="0" distR="0" wp14:anchorId="37A695F1" wp14:editId="3E364E45">
            <wp:extent cx="4310709" cy="3177766"/>
            <wp:effectExtent l="0" t="0" r="0" b="3810"/>
            <wp:docPr id="177709349" name="Imagen 2"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9349" name="Imagen 2" descr="Gráfico, Gráfico en cascad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3436" cy="3187148"/>
                    </a:xfrm>
                    <a:prstGeom prst="rect">
                      <a:avLst/>
                    </a:prstGeom>
                    <a:noFill/>
                    <a:ln>
                      <a:noFill/>
                    </a:ln>
                  </pic:spPr>
                </pic:pic>
              </a:graphicData>
            </a:graphic>
          </wp:inline>
        </w:drawing>
      </w:r>
    </w:p>
    <w:p w14:paraId="0573E9C7" w14:textId="575486F5" w:rsidR="00F512C0" w:rsidRDefault="00F512C0" w:rsidP="00FC416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Gráfico 5. Elaboración propia con datos de </w:t>
      </w:r>
      <w:r w:rsidR="00FC4160">
        <w:rPr>
          <w:rFonts w:ascii="Times New Roman" w:eastAsia="Times New Roman" w:hAnsi="Times New Roman" w:cs="Times New Roman"/>
          <w:kern w:val="0"/>
          <w14:ligatures w14:val="none"/>
        </w:rPr>
        <w:t>la DIAN.</w:t>
      </w:r>
    </w:p>
    <w:p w14:paraId="24840F95" w14:textId="77777777" w:rsidR="00852B80" w:rsidRDefault="00852B80" w:rsidP="00892B16">
      <w:pPr>
        <w:spacing w:after="0" w:line="240" w:lineRule="auto"/>
        <w:jc w:val="both"/>
        <w:rPr>
          <w:rFonts w:ascii="Times New Roman" w:eastAsia="Times New Roman" w:hAnsi="Times New Roman" w:cs="Times New Roman"/>
          <w:kern w:val="0"/>
          <w14:ligatures w14:val="none"/>
        </w:rPr>
      </w:pPr>
    </w:p>
    <w:p w14:paraId="06933382" w14:textId="7C1AD194" w:rsidR="00852B80" w:rsidRDefault="00852B80" w:rsidP="00892B16">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El recaudo por departamento está fuertemente concentrado en pocos territorios (particularmente Bogotá, Antioquia y Valle), como lo muestran los numerosos valores atípicos en 4x1000 e Industria y Comercio. La mayoría de los departamentos recauda muy poco en todos los impuestos, lo que revela una base tributaria reducida y altos niveles de informalidad. Esta concentración territorial del recaudo implica que los riesgos de evasión tienen dinámicas distintas: en las grandes capitales, la evasión suele estar asociada a empresas y transacciones grandes; en regiones pequeñas, la evasión se relaciona más con informalidad y ausencia de contribuyentes inscritos.</w:t>
      </w:r>
    </w:p>
    <w:p w14:paraId="58B84ABC" w14:textId="77777777" w:rsidR="00852B80" w:rsidRDefault="00852B80" w:rsidP="00892B16">
      <w:pPr>
        <w:spacing w:after="0" w:line="240" w:lineRule="auto"/>
        <w:jc w:val="both"/>
        <w:rPr>
          <w:rFonts w:ascii="Times New Roman" w:eastAsia="Times New Roman" w:hAnsi="Times New Roman" w:cs="Times New Roman"/>
          <w:kern w:val="0"/>
          <w14:ligatures w14:val="none"/>
        </w:rPr>
      </w:pPr>
    </w:p>
    <w:p w14:paraId="7F8A1D5B" w14:textId="06EA11C3" w:rsidR="00852B80" w:rsidRDefault="00FC4160" w:rsidP="00FC4160">
      <w:pPr>
        <w:spacing w:after="0" w:line="240" w:lineRule="auto"/>
        <w:jc w:val="center"/>
        <w:rPr>
          <w:rFonts w:ascii="Times New Roman" w:eastAsia="Times New Roman" w:hAnsi="Times New Roman" w:cs="Times New Roman"/>
          <w:kern w:val="0"/>
          <w14:ligatures w14:val="none"/>
        </w:rPr>
      </w:pPr>
      <w:r>
        <w:rPr>
          <w:noProof/>
        </w:rPr>
        <w:drawing>
          <wp:inline distT="0" distB="0" distL="0" distR="0" wp14:anchorId="121EC822" wp14:editId="7BB58D7C">
            <wp:extent cx="5943600" cy="2419350"/>
            <wp:effectExtent l="0" t="0" r="0" b="0"/>
            <wp:docPr id="1727411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34B63D41" w14:textId="60CA47C2" w:rsidR="00FC4160" w:rsidRDefault="00FC4160" w:rsidP="00FC416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Gráfico 6. Elaboración propia con datos de la DIAN.</w:t>
      </w:r>
    </w:p>
    <w:p w14:paraId="45F0FCC9" w14:textId="77777777" w:rsidR="00FC4160" w:rsidRDefault="00FC4160" w:rsidP="00FC4160">
      <w:pPr>
        <w:spacing w:after="0" w:line="240" w:lineRule="auto"/>
        <w:rPr>
          <w:rFonts w:ascii="Times New Roman" w:eastAsia="Times New Roman" w:hAnsi="Times New Roman" w:cs="Times New Roman"/>
          <w:kern w:val="0"/>
          <w14:ligatures w14:val="none"/>
        </w:rPr>
      </w:pPr>
    </w:p>
    <w:p w14:paraId="30BF55E9" w14:textId="06287B4E" w:rsidR="00FC4160" w:rsidRDefault="00FC4160" w:rsidP="00FC41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Este gráfico muestra cómo ha cambiado la composición del recaudo tributario en los últimos 6 años. El mayor peso del Impuesto de Industria y Comercio confirma que buena parte de los ingresos fiscales depende de la actividad empresarial y comercial de los territorios. El 4x1000 también tienen un aporte significativo, lo que evidencia la dependencia del Estado en impuestos indirectos. En contraste, el Impuesto de la Renta para la Equidad, tiene una participación muy baja debido a lo mencionado anteriormente. El crecimiento hasta 2022 y la reducción en 2023 muestran que el recaudo es sensible a ciclos económicos y a la normalización posterior a la pandemia. </w:t>
      </w:r>
    </w:p>
    <w:p w14:paraId="0D409F09" w14:textId="77777777" w:rsidR="00FC4160" w:rsidRDefault="00FC4160" w:rsidP="00FC4160">
      <w:pPr>
        <w:spacing w:after="0" w:line="240" w:lineRule="auto"/>
        <w:rPr>
          <w:rFonts w:ascii="Times New Roman" w:eastAsia="Times New Roman" w:hAnsi="Times New Roman" w:cs="Times New Roman"/>
          <w:kern w:val="0"/>
          <w14:ligatures w14:val="none"/>
        </w:rPr>
      </w:pPr>
    </w:p>
    <w:p w14:paraId="41C1745B" w14:textId="6EB3ED6A" w:rsidR="00FC4160" w:rsidRDefault="00FC4160" w:rsidP="00ED79B8">
      <w:pPr>
        <w:spacing w:after="0" w:line="240" w:lineRule="auto"/>
        <w:ind w:left="720" w:hanging="720"/>
        <w:jc w:val="center"/>
        <w:rPr>
          <w:rFonts w:ascii="Times New Roman" w:eastAsia="Times New Roman" w:hAnsi="Times New Roman" w:cs="Times New Roman"/>
          <w:kern w:val="0"/>
          <w14:ligatures w14:val="none"/>
        </w:rPr>
      </w:pPr>
      <w:r w:rsidRPr="00FC4160">
        <w:rPr>
          <w:rFonts w:ascii="Times New Roman" w:eastAsia="Times New Roman" w:hAnsi="Times New Roman" w:cs="Times New Roman"/>
          <w:noProof/>
          <w:kern w:val="0"/>
          <w14:ligatures w14:val="none"/>
        </w:rPr>
        <w:lastRenderedPageBreak/>
        <w:drawing>
          <wp:inline distT="0" distB="0" distL="0" distR="0" wp14:anchorId="67279B0D" wp14:editId="1915FDC7">
            <wp:extent cx="4869448" cy="2924270"/>
            <wp:effectExtent l="0" t="0" r="7620" b="0"/>
            <wp:docPr id="648221888"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21888" name="Imagen 4" descr="Gráfico, Histo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7406" cy="2929049"/>
                    </a:xfrm>
                    <a:prstGeom prst="rect">
                      <a:avLst/>
                    </a:prstGeom>
                    <a:noFill/>
                    <a:ln>
                      <a:noFill/>
                    </a:ln>
                  </pic:spPr>
                </pic:pic>
              </a:graphicData>
            </a:graphic>
          </wp:inline>
        </w:drawing>
      </w:r>
    </w:p>
    <w:p w14:paraId="4AE2097A" w14:textId="09A68574" w:rsidR="00FC4160" w:rsidRDefault="00FC4160" w:rsidP="00FC416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Gráfico 7. Elaboración propia con datos de la DIAN.</w:t>
      </w:r>
    </w:p>
    <w:p w14:paraId="7CF5AD71" w14:textId="77777777" w:rsidR="00FC4160" w:rsidRDefault="00FC4160" w:rsidP="00FC4160">
      <w:pPr>
        <w:spacing w:after="0" w:line="240" w:lineRule="auto"/>
        <w:rPr>
          <w:rFonts w:ascii="Times New Roman" w:eastAsia="Times New Roman" w:hAnsi="Times New Roman" w:cs="Times New Roman"/>
          <w:kern w:val="0"/>
          <w14:ligatures w14:val="none"/>
        </w:rPr>
      </w:pPr>
    </w:p>
    <w:p w14:paraId="749E737F" w14:textId="4FE08044" w:rsidR="00FC4160" w:rsidRDefault="00FC4160" w:rsidP="00FC41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 mapa de correlación muestra</w:t>
      </w:r>
      <w:r w:rsidRPr="00FC4160">
        <w:rPr>
          <w:rFonts w:ascii="Times New Roman" w:eastAsia="Times New Roman" w:hAnsi="Times New Roman" w:cs="Times New Roman"/>
          <w:kern w:val="0"/>
          <w14:ligatures w14:val="none"/>
        </w:rPr>
        <w:t xml:space="preserve"> relaciones importantes entre los distintos impuestos.</w:t>
      </w:r>
      <w:r>
        <w:rPr>
          <w:rFonts w:ascii="Times New Roman" w:eastAsia="Times New Roman" w:hAnsi="Times New Roman" w:cs="Times New Roman"/>
          <w:kern w:val="0"/>
          <w14:ligatures w14:val="none"/>
        </w:rPr>
        <w:t xml:space="preserve"> </w:t>
      </w:r>
      <w:r w:rsidRPr="00FC4160">
        <w:rPr>
          <w:rFonts w:ascii="Times New Roman" w:eastAsia="Times New Roman" w:hAnsi="Times New Roman" w:cs="Times New Roman"/>
          <w:kern w:val="0"/>
          <w14:ligatures w14:val="none"/>
        </w:rPr>
        <w:t xml:space="preserve">Hola correlación más alta </w:t>
      </w:r>
      <w:r w:rsidR="001424AB">
        <w:rPr>
          <w:rFonts w:ascii="Times New Roman" w:eastAsia="Times New Roman" w:hAnsi="Times New Roman" w:cs="Times New Roman"/>
          <w:kern w:val="0"/>
          <w14:ligatures w14:val="none"/>
        </w:rPr>
        <w:t>(</w:t>
      </w:r>
      <w:r w:rsidRPr="00FC4160">
        <w:rPr>
          <w:rFonts w:ascii="Times New Roman" w:eastAsia="Times New Roman" w:hAnsi="Times New Roman" w:cs="Times New Roman"/>
          <w:kern w:val="0"/>
          <w14:ligatures w14:val="none"/>
        </w:rPr>
        <w:t xml:space="preserve">0.87) se da entre Industria y Comercio y el </w:t>
      </w:r>
      <w:r w:rsidR="001424AB">
        <w:rPr>
          <w:rFonts w:ascii="Times New Roman" w:eastAsia="Times New Roman" w:hAnsi="Times New Roman" w:cs="Times New Roman"/>
          <w:kern w:val="0"/>
          <w14:ligatures w14:val="none"/>
        </w:rPr>
        <w:t>P</w:t>
      </w:r>
      <w:r w:rsidRPr="00FC4160">
        <w:rPr>
          <w:rFonts w:ascii="Times New Roman" w:eastAsia="Times New Roman" w:hAnsi="Times New Roman" w:cs="Times New Roman"/>
          <w:kern w:val="0"/>
          <w14:ligatures w14:val="none"/>
        </w:rPr>
        <w:t>redial</w:t>
      </w:r>
      <w:r w:rsidR="001424AB">
        <w:rPr>
          <w:rFonts w:ascii="Times New Roman" w:eastAsia="Times New Roman" w:hAnsi="Times New Roman" w:cs="Times New Roman"/>
          <w:kern w:val="0"/>
          <w14:ligatures w14:val="none"/>
        </w:rPr>
        <w:t>/V</w:t>
      </w:r>
      <w:r w:rsidRPr="00FC4160">
        <w:rPr>
          <w:rFonts w:ascii="Times New Roman" w:eastAsia="Times New Roman" w:hAnsi="Times New Roman" w:cs="Times New Roman"/>
          <w:kern w:val="0"/>
          <w14:ligatures w14:val="none"/>
        </w:rPr>
        <w:t>ehículos</w:t>
      </w:r>
      <w:r w:rsidR="001424AB">
        <w:rPr>
          <w:rFonts w:ascii="Times New Roman" w:eastAsia="Times New Roman" w:hAnsi="Times New Roman" w:cs="Times New Roman"/>
          <w:kern w:val="0"/>
          <w14:ligatures w14:val="none"/>
        </w:rPr>
        <w:t xml:space="preserve">, </w:t>
      </w:r>
      <w:r w:rsidRPr="00FC4160">
        <w:rPr>
          <w:rFonts w:ascii="Times New Roman" w:eastAsia="Times New Roman" w:hAnsi="Times New Roman" w:cs="Times New Roman"/>
          <w:kern w:val="0"/>
          <w14:ligatures w14:val="none"/>
        </w:rPr>
        <w:t>lo que sugiere que las zonas con mayor actividad económica suelen ser también las que tienen más propiedad de activos y</w:t>
      </w:r>
      <w:r w:rsidR="001424AB">
        <w:rPr>
          <w:rFonts w:ascii="Times New Roman" w:eastAsia="Times New Roman" w:hAnsi="Times New Roman" w:cs="Times New Roman"/>
          <w:kern w:val="0"/>
          <w14:ligatures w14:val="none"/>
        </w:rPr>
        <w:t xml:space="preserve">, </w:t>
      </w:r>
      <w:r w:rsidRPr="00FC4160">
        <w:rPr>
          <w:rFonts w:ascii="Times New Roman" w:eastAsia="Times New Roman" w:hAnsi="Times New Roman" w:cs="Times New Roman"/>
          <w:kern w:val="0"/>
          <w14:ligatures w14:val="none"/>
        </w:rPr>
        <w:t>por tanto</w:t>
      </w:r>
      <w:r w:rsidR="001424AB">
        <w:rPr>
          <w:rFonts w:ascii="Times New Roman" w:eastAsia="Times New Roman" w:hAnsi="Times New Roman" w:cs="Times New Roman"/>
          <w:kern w:val="0"/>
          <w14:ligatures w14:val="none"/>
        </w:rPr>
        <w:t xml:space="preserve">, </w:t>
      </w:r>
      <w:r w:rsidRPr="00FC4160">
        <w:rPr>
          <w:rFonts w:ascii="Times New Roman" w:eastAsia="Times New Roman" w:hAnsi="Times New Roman" w:cs="Times New Roman"/>
          <w:kern w:val="0"/>
          <w14:ligatures w14:val="none"/>
        </w:rPr>
        <w:t>mayor recaudo local.</w:t>
      </w:r>
      <w:r w:rsidR="001424AB" w:rsidRPr="001424AB">
        <w:rPr>
          <w:rFonts w:ascii="Times New Roman" w:eastAsia="Times New Roman" w:hAnsi="Times New Roman" w:cs="Times New Roman"/>
          <w:kern w:val="0"/>
          <w14:ligatures w14:val="none"/>
        </w:rPr>
        <w:t xml:space="preserve"> Las correlaciones con el </w:t>
      </w:r>
      <w:r w:rsidR="001424AB">
        <w:rPr>
          <w:rFonts w:ascii="Times New Roman" w:eastAsia="Times New Roman" w:hAnsi="Times New Roman" w:cs="Times New Roman"/>
          <w:kern w:val="0"/>
          <w14:ligatures w14:val="none"/>
        </w:rPr>
        <w:t>4</w:t>
      </w:r>
      <w:r w:rsidR="001424AB" w:rsidRPr="001424AB">
        <w:rPr>
          <w:rFonts w:ascii="Times New Roman" w:eastAsia="Times New Roman" w:hAnsi="Times New Roman" w:cs="Times New Roman"/>
          <w:kern w:val="0"/>
          <w14:ligatures w14:val="none"/>
        </w:rPr>
        <w:t>x1000 también son moderadas</w:t>
      </w:r>
      <w:r w:rsidR="001424AB">
        <w:rPr>
          <w:rFonts w:ascii="Times New Roman" w:eastAsia="Times New Roman" w:hAnsi="Times New Roman" w:cs="Times New Roman"/>
          <w:kern w:val="0"/>
          <w14:ligatures w14:val="none"/>
        </w:rPr>
        <w:t xml:space="preserve">, </w:t>
      </w:r>
      <w:r w:rsidR="001424AB" w:rsidRPr="001424AB">
        <w:rPr>
          <w:rFonts w:ascii="Times New Roman" w:eastAsia="Times New Roman" w:hAnsi="Times New Roman" w:cs="Times New Roman"/>
          <w:kern w:val="0"/>
          <w14:ligatures w14:val="none"/>
        </w:rPr>
        <w:t>lo cual indica que este impuesto se mueve en función de la actividad financiera</w:t>
      </w:r>
      <w:r w:rsidR="001424AB">
        <w:rPr>
          <w:rFonts w:ascii="Times New Roman" w:eastAsia="Times New Roman" w:hAnsi="Times New Roman" w:cs="Times New Roman"/>
          <w:kern w:val="0"/>
          <w14:ligatures w14:val="none"/>
        </w:rPr>
        <w:t xml:space="preserve"> y comercial. E</w:t>
      </w:r>
      <w:r w:rsidR="001424AB" w:rsidRPr="001424AB">
        <w:rPr>
          <w:rFonts w:ascii="Times New Roman" w:eastAsia="Times New Roman" w:hAnsi="Times New Roman" w:cs="Times New Roman"/>
          <w:kern w:val="0"/>
          <w14:ligatures w14:val="none"/>
        </w:rPr>
        <w:t>n</w:t>
      </w:r>
      <w:r w:rsidR="001424AB">
        <w:rPr>
          <w:rFonts w:ascii="Times New Roman" w:eastAsia="Times New Roman" w:hAnsi="Times New Roman" w:cs="Times New Roman"/>
          <w:kern w:val="0"/>
          <w14:ligatures w14:val="none"/>
        </w:rPr>
        <w:t xml:space="preserve"> </w:t>
      </w:r>
      <w:r w:rsidR="001424AB" w:rsidRPr="001424AB">
        <w:rPr>
          <w:rFonts w:ascii="Times New Roman" w:eastAsia="Times New Roman" w:hAnsi="Times New Roman" w:cs="Times New Roman"/>
          <w:kern w:val="0"/>
          <w14:ligatures w14:val="none"/>
        </w:rPr>
        <w:t>contraste,</w:t>
      </w:r>
      <w:r w:rsidR="001424AB">
        <w:rPr>
          <w:rFonts w:ascii="Times New Roman" w:eastAsia="Times New Roman" w:hAnsi="Times New Roman" w:cs="Times New Roman"/>
          <w:kern w:val="0"/>
          <w14:ligatures w14:val="none"/>
        </w:rPr>
        <w:t xml:space="preserve"> </w:t>
      </w:r>
      <w:r w:rsidR="001424AB" w:rsidRPr="001424AB">
        <w:rPr>
          <w:rFonts w:ascii="Times New Roman" w:eastAsia="Times New Roman" w:hAnsi="Times New Roman" w:cs="Times New Roman"/>
          <w:kern w:val="0"/>
          <w14:ligatures w14:val="none"/>
        </w:rPr>
        <w:t>el impuesto de renta para la equidad representa las correlaciones más bajas, lo que puede reflejar diferencias en cumplimiento, capacidad de pago o incluso posibles espacios de evasión. Este tipo de análisis ayuda a entender qué impuestos responden más al ciclo económico y cuáles dependen de factores estructurales propios de cada territorio</w:t>
      </w:r>
    </w:p>
    <w:p w14:paraId="544DA1D4" w14:textId="77777777" w:rsidR="001424AB" w:rsidRDefault="001424AB" w:rsidP="00FC4160">
      <w:pPr>
        <w:spacing w:after="0" w:line="240" w:lineRule="auto"/>
        <w:rPr>
          <w:rFonts w:ascii="Times New Roman" w:eastAsia="Times New Roman" w:hAnsi="Times New Roman" w:cs="Times New Roman"/>
          <w:kern w:val="0"/>
          <w14:ligatures w14:val="none"/>
        </w:rPr>
      </w:pPr>
    </w:p>
    <w:p w14:paraId="3DD4C21F" w14:textId="31CCAF93" w:rsidR="001424AB" w:rsidRDefault="001424AB" w:rsidP="00FC4160">
      <w:pPr>
        <w:spacing w:after="0" w:line="240" w:lineRule="auto"/>
        <w:rPr>
          <w:rFonts w:ascii="Times New Roman" w:eastAsia="Times New Roman" w:hAnsi="Times New Roman" w:cs="Times New Roman"/>
          <w:b/>
          <w:bCs/>
          <w:kern w:val="0"/>
          <w:sz w:val="36"/>
          <w:szCs w:val="36"/>
          <w14:ligatures w14:val="none"/>
        </w:rPr>
      </w:pPr>
      <w:r w:rsidRPr="001424AB">
        <w:rPr>
          <w:rFonts w:ascii="Times New Roman" w:eastAsia="Times New Roman" w:hAnsi="Times New Roman" w:cs="Times New Roman"/>
          <w:b/>
          <w:bCs/>
          <w:kern w:val="0"/>
          <w:sz w:val="36"/>
          <w:szCs w:val="36"/>
          <w14:ligatures w14:val="none"/>
        </w:rPr>
        <w:t>Resultados del modelado</w:t>
      </w:r>
    </w:p>
    <w:p w14:paraId="6B134B93" w14:textId="77777777" w:rsidR="001424AB" w:rsidRDefault="001424AB" w:rsidP="00FC4160">
      <w:pPr>
        <w:spacing w:after="0" w:line="240" w:lineRule="auto"/>
        <w:rPr>
          <w:rFonts w:ascii="Times New Roman" w:eastAsia="Times New Roman" w:hAnsi="Times New Roman" w:cs="Times New Roman"/>
          <w:b/>
          <w:bCs/>
          <w:kern w:val="0"/>
          <w:sz w:val="36"/>
          <w:szCs w:val="36"/>
          <w14:ligatures w14:val="none"/>
        </w:rPr>
      </w:pPr>
    </w:p>
    <w:p w14:paraId="036AFA48" w14:textId="5EDB2B38" w:rsidR="00294314" w:rsidRDefault="00D72B12" w:rsidP="00FC41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Además</w:t>
      </w:r>
      <w:r w:rsidRPr="00D72B12">
        <w:rPr>
          <w:rFonts w:ascii="Times New Roman" w:eastAsia="Times New Roman" w:hAnsi="Times New Roman" w:cs="Times New Roman"/>
          <w:kern w:val="0"/>
          <w14:ligatures w14:val="none"/>
        </w:rPr>
        <w:t xml:space="preserve"> del análisis descriptivo</w:t>
      </w:r>
      <w:r>
        <w:rPr>
          <w:rFonts w:ascii="Times New Roman" w:eastAsia="Times New Roman" w:hAnsi="Times New Roman" w:cs="Times New Roman"/>
          <w:kern w:val="0"/>
          <w14:ligatures w14:val="none"/>
        </w:rPr>
        <w:t xml:space="preserve">, </w:t>
      </w:r>
      <w:r w:rsidRPr="00D72B12">
        <w:rPr>
          <w:rFonts w:ascii="Times New Roman" w:eastAsia="Times New Roman" w:hAnsi="Times New Roman" w:cs="Times New Roman"/>
          <w:kern w:val="0"/>
          <w14:ligatures w14:val="none"/>
        </w:rPr>
        <w:t xml:space="preserve">se aplicaron técnicas no supervisadas para identificar patrones territoriales en el comportamiento tributario. El </w:t>
      </w:r>
      <w:r>
        <w:rPr>
          <w:rFonts w:ascii="Times New Roman" w:eastAsia="Times New Roman" w:hAnsi="Times New Roman" w:cs="Times New Roman"/>
          <w:kern w:val="0"/>
          <w14:ligatures w14:val="none"/>
        </w:rPr>
        <w:t xml:space="preserve">PCA </w:t>
      </w:r>
      <w:r w:rsidRPr="00D72B12">
        <w:rPr>
          <w:rFonts w:ascii="Times New Roman" w:eastAsia="Times New Roman" w:hAnsi="Times New Roman" w:cs="Times New Roman"/>
          <w:kern w:val="0"/>
          <w14:ligatures w14:val="none"/>
        </w:rPr>
        <w:t>redujo las cuatro variables de recaudo a dos componentes principales que explican el 84.39% de la varianza total</w:t>
      </w:r>
      <w:r>
        <w:rPr>
          <w:rFonts w:ascii="Times New Roman" w:eastAsia="Times New Roman" w:hAnsi="Times New Roman" w:cs="Times New Roman"/>
          <w:kern w:val="0"/>
          <w14:ligatures w14:val="none"/>
        </w:rPr>
        <w:t>.</w:t>
      </w:r>
      <w:r w:rsidRPr="00D72B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E</w:t>
      </w:r>
      <w:r w:rsidRPr="00D72B12">
        <w:rPr>
          <w:rFonts w:ascii="Times New Roman" w:eastAsia="Times New Roman" w:hAnsi="Times New Roman" w:cs="Times New Roman"/>
          <w:kern w:val="0"/>
          <w14:ligatures w14:val="none"/>
        </w:rPr>
        <w:t xml:space="preserve">l </w:t>
      </w:r>
      <w:r>
        <w:rPr>
          <w:rFonts w:ascii="Times New Roman" w:eastAsia="Times New Roman" w:hAnsi="Times New Roman" w:cs="Times New Roman"/>
          <w:kern w:val="0"/>
          <w14:ligatures w14:val="none"/>
        </w:rPr>
        <w:t>C</w:t>
      </w:r>
      <w:r w:rsidRPr="00D72B12">
        <w:rPr>
          <w:rFonts w:ascii="Times New Roman" w:eastAsia="Times New Roman" w:hAnsi="Times New Roman" w:cs="Times New Roman"/>
          <w:kern w:val="0"/>
          <w14:ligatures w14:val="none"/>
        </w:rPr>
        <w:t>omponente 1</w:t>
      </w:r>
      <w:r>
        <w:rPr>
          <w:rFonts w:ascii="Times New Roman" w:eastAsia="Times New Roman" w:hAnsi="Times New Roman" w:cs="Times New Roman"/>
          <w:kern w:val="0"/>
          <w14:ligatures w14:val="none"/>
        </w:rPr>
        <w:t xml:space="preserve"> (6</w:t>
      </w:r>
      <w:r w:rsidRPr="00D72B12">
        <w:rPr>
          <w:rFonts w:ascii="Times New Roman" w:eastAsia="Times New Roman" w:hAnsi="Times New Roman" w:cs="Times New Roman"/>
          <w:kern w:val="0"/>
          <w14:ligatures w14:val="none"/>
        </w:rPr>
        <w:t>0.6%</w:t>
      </w:r>
      <w:r>
        <w:rPr>
          <w:rFonts w:ascii="Times New Roman" w:eastAsia="Times New Roman" w:hAnsi="Times New Roman" w:cs="Times New Roman"/>
          <w:kern w:val="0"/>
          <w14:ligatures w14:val="none"/>
        </w:rPr>
        <w:t>)</w:t>
      </w:r>
      <w:r w:rsidRPr="00D72B12">
        <w:rPr>
          <w:rFonts w:ascii="Times New Roman" w:eastAsia="Times New Roman" w:hAnsi="Times New Roman" w:cs="Times New Roman"/>
          <w:kern w:val="0"/>
          <w14:ligatures w14:val="none"/>
        </w:rPr>
        <w:t xml:space="preserve"> agrupa la magnitud total del recaudo, pues todos los impuestos cargan positivamente sobre este eje, mientras que el </w:t>
      </w:r>
      <w:r>
        <w:rPr>
          <w:rFonts w:ascii="Times New Roman" w:eastAsia="Times New Roman" w:hAnsi="Times New Roman" w:cs="Times New Roman"/>
          <w:kern w:val="0"/>
          <w14:ligatures w14:val="none"/>
        </w:rPr>
        <w:t>C</w:t>
      </w:r>
      <w:r w:rsidRPr="00D72B12">
        <w:rPr>
          <w:rFonts w:ascii="Times New Roman" w:eastAsia="Times New Roman" w:hAnsi="Times New Roman" w:cs="Times New Roman"/>
          <w:kern w:val="0"/>
          <w14:ligatures w14:val="none"/>
        </w:rPr>
        <w:t xml:space="preserve">omponente dos </w:t>
      </w:r>
      <w:r>
        <w:rPr>
          <w:rFonts w:ascii="Times New Roman" w:eastAsia="Times New Roman" w:hAnsi="Times New Roman" w:cs="Times New Roman"/>
          <w:kern w:val="0"/>
          <w14:ligatures w14:val="none"/>
        </w:rPr>
        <w:t>(</w:t>
      </w:r>
      <w:r w:rsidRPr="00D72B12">
        <w:rPr>
          <w:rFonts w:ascii="Times New Roman" w:eastAsia="Times New Roman" w:hAnsi="Times New Roman" w:cs="Times New Roman"/>
          <w:kern w:val="0"/>
          <w14:ligatures w14:val="none"/>
        </w:rPr>
        <w:t>23,3%</w:t>
      </w:r>
      <w:r>
        <w:rPr>
          <w:rFonts w:ascii="Times New Roman" w:eastAsia="Times New Roman" w:hAnsi="Times New Roman" w:cs="Times New Roman"/>
          <w:kern w:val="0"/>
          <w14:ligatures w14:val="none"/>
        </w:rPr>
        <w:t>)</w:t>
      </w:r>
      <w:r w:rsidRPr="00D72B12">
        <w:rPr>
          <w:rFonts w:ascii="Times New Roman" w:eastAsia="Times New Roman" w:hAnsi="Times New Roman" w:cs="Times New Roman"/>
          <w:kern w:val="0"/>
          <w14:ligatures w14:val="none"/>
        </w:rPr>
        <w:t xml:space="preserve"> diferencia la estructura tributaria de cada apartamento. Con base en la mediana de c p 1, los territorios se clasificaron entre </w:t>
      </w:r>
      <w:r>
        <w:rPr>
          <w:rFonts w:ascii="Times New Roman" w:eastAsia="Times New Roman" w:hAnsi="Times New Roman" w:cs="Times New Roman"/>
          <w:kern w:val="0"/>
          <w14:ligatures w14:val="none"/>
        </w:rPr>
        <w:t>High</w:t>
      </w:r>
      <w:r w:rsidRPr="00D72B12">
        <w:rPr>
          <w:rFonts w:ascii="Times New Roman" w:eastAsia="Times New Roman" w:hAnsi="Times New Roman" w:cs="Times New Roman"/>
          <w:kern w:val="0"/>
          <w14:ligatures w14:val="none"/>
        </w:rPr>
        <w:t xml:space="preserve"> Collection y </w:t>
      </w:r>
      <w:r>
        <w:rPr>
          <w:rFonts w:ascii="Times New Roman" w:eastAsia="Times New Roman" w:hAnsi="Times New Roman" w:cs="Times New Roman"/>
          <w:kern w:val="0"/>
          <w14:ligatures w14:val="none"/>
        </w:rPr>
        <w:t>L</w:t>
      </w:r>
      <w:r w:rsidRPr="00D72B12">
        <w:rPr>
          <w:rFonts w:ascii="Times New Roman" w:eastAsia="Times New Roman" w:hAnsi="Times New Roman" w:cs="Times New Roman"/>
          <w:kern w:val="0"/>
          <w14:ligatures w14:val="none"/>
        </w:rPr>
        <w:t>ow Collection, lo que confirma la alta concentración geográfica del recaudo.</w:t>
      </w:r>
    </w:p>
    <w:p w14:paraId="302172BC" w14:textId="77777777" w:rsidR="00D72B12" w:rsidRDefault="00D72B12" w:rsidP="00FC4160">
      <w:pPr>
        <w:spacing w:after="0" w:line="240" w:lineRule="auto"/>
        <w:rPr>
          <w:rFonts w:ascii="Times New Roman" w:eastAsia="Times New Roman" w:hAnsi="Times New Roman" w:cs="Times New Roman"/>
          <w:kern w:val="0"/>
          <w14:ligatures w14:val="none"/>
        </w:rPr>
      </w:pPr>
    </w:p>
    <w:p w14:paraId="192741F1" w14:textId="340EE72E" w:rsidR="00D72B12" w:rsidRDefault="00D72B12" w:rsidP="00FC4160">
      <w:pPr>
        <w:spacing w:after="0" w:line="240" w:lineRule="auto"/>
        <w:rPr>
          <w:rFonts w:ascii="Times New Roman" w:eastAsia="Times New Roman" w:hAnsi="Times New Roman" w:cs="Times New Roman"/>
          <w:kern w:val="0"/>
          <w14:ligatures w14:val="none"/>
        </w:rPr>
      </w:pPr>
      <w:r w:rsidRPr="00D72B12">
        <w:rPr>
          <w:rFonts w:ascii="Times New Roman" w:eastAsia="Times New Roman" w:hAnsi="Times New Roman" w:cs="Times New Roman"/>
          <w:kern w:val="0"/>
          <w14:ligatures w14:val="none"/>
        </w:rPr>
        <w:t xml:space="preserve">Posteriormente, se aplicó </w:t>
      </w:r>
      <w:r>
        <w:rPr>
          <w:rFonts w:ascii="Times New Roman" w:eastAsia="Times New Roman" w:hAnsi="Times New Roman" w:cs="Times New Roman"/>
          <w:kern w:val="0"/>
          <w14:ligatures w14:val="none"/>
        </w:rPr>
        <w:t>K-Means</w:t>
      </w:r>
      <w:r w:rsidRPr="00D72B12">
        <w:rPr>
          <w:rFonts w:ascii="Times New Roman" w:eastAsia="Times New Roman" w:hAnsi="Times New Roman" w:cs="Times New Roman"/>
          <w:kern w:val="0"/>
          <w14:ligatures w14:val="none"/>
        </w:rPr>
        <w:t xml:space="preserve"> sobre el espacio reducido del P</w:t>
      </w:r>
      <w:r>
        <w:rPr>
          <w:rFonts w:ascii="Times New Roman" w:eastAsia="Times New Roman" w:hAnsi="Times New Roman" w:cs="Times New Roman"/>
          <w:kern w:val="0"/>
          <w14:ligatures w14:val="none"/>
        </w:rPr>
        <w:t xml:space="preserve">CA, </w:t>
      </w:r>
      <w:r w:rsidRPr="00D72B12">
        <w:rPr>
          <w:rFonts w:ascii="Times New Roman" w:eastAsia="Times New Roman" w:hAnsi="Times New Roman" w:cs="Times New Roman"/>
          <w:kern w:val="0"/>
          <w14:ligatures w14:val="none"/>
        </w:rPr>
        <w:t xml:space="preserve">obteniendo dos clústeres. El </w:t>
      </w:r>
      <w:r>
        <w:rPr>
          <w:rFonts w:ascii="Times New Roman" w:eastAsia="Times New Roman" w:hAnsi="Times New Roman" w:cs="Times New Roman"/>
          <w:kern w:val="0"/>
          <w14:ligatures w14:val="none"/>
        </w:rPr>
        <w:t>C</w:t>
      </w:r>
      <w:r w:rsidRPr="00D72B12">
        <w:rPr>
          <w:rFonts w:ascii="Times New Roman" w:eastAsia="Times New Roman" w:hAnsi="Times New Roman" w:cs="Times New Roman"/>
          <w:kern w:val="0"/>
          <w14:ligatures w14:val="none"/>
        </w:rPr>
        <w:t xml:space="preserve">lúster </w:t>
      </w:r>
      <w:r>
        <w:rPr>
          <w:rFonts w:ascii="Times New Roman" w:eastAsia="Times New Roman" w:hAnsi="Times New Roman" w:cs="Times New Roman"/>
          <w:kern w:val="0"/>
          <w14:ligatures w14:val="none"/>
        </w:rPr>
        <w:t>0</w:t>
      </w:r>
      <w:r w:rsidRPr="00D72B12">
        <w:rPr>
          <w:rFonts w:ascii="Times New Roman" w:eastAsia="Times New Roman" w:hAnsi="Times New Roman" w:cs="Times New Roman"/>
          <w:kern w:val="0"/>
          <w14:ligatures w14:val="none"/>
        </w:rPr>
        <w:t xml:space="preserve"> reúne departamentos con bajo recaudo y estructuras tributarias poco diversificadas, generalmente asociadas a actividad económica limitada. El </w:t>
      </w:r>
      <w:r>
        <w:rPr>
          <w:rFonts w:ascii="Times New Roman" w:eastAsia="Times New Roman" w:hAnsi="Times New Roman" w:cs="Times New Roman"/>
          <w:kern w:val="0"/>
          <w14:ligatures w14:val="none"/>
        </w:rPr>
        <w:t>Clúster 1</w:t>
      </w:r>
      <w:r w:rsidRPr="00D72B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agrup</w:t>
      </w:r>
      <w:r w:rsidRPr="00D72B12">
        <w:rPr>
          <w:rFonts w:ascii="Times New Roman" w:eastAsia="Times New Roman" w:hAnsi="Times New Roman" w:cs="Times New Roman"/>
          <w:kern w:val="0"/>
          <w14:ligatures w14:val="none"/>
        </w:rPr>
        <w:t>a territorios con mayor dinamismo económico, mayor masa tributaria y una composición más equilibrada entre impuestos. Estos resultados demuestran que la diferencia territorial no es solo de magnitud</w:t>
      </w:r>
      <w:r>
        <w:rPr>
          <w:rFonts w:ascii="Times New Roman" w:eastAsia="Times New Roman" w:hAnsi="Times New Roman" w:cs="Times New Roman"/>
          <w:kern w:val="0"/>
          <w14:ligatures w14:val="none"/>
        </w:rPr>
        <w:t>,</w:t>
      </w:r>
      <w:r w:rsidRPr="00D72B12">
        <w:rPr>
          <w:rFonts w:ascii="Times New Roman" w:eastAsia="Times New Roman" w:hAnsi="Times New Roman" w:cs="Times New Roman"/>
          <w:kern w:val="0"/>
          <w14:ligatures w14:val="none"/>
        </w:rPr>
        <w:t xml:space="preserve"> sino también de estructura fiscal.</w:t>
      </w:r>
    </w:p>
    <w:p w14:paraId="082A52CB" w14:textId="77777777" w:rsidR="00D72B12" w:rsidRDefault="00D72B12" w:rsidP="00FC4160">
      <w:pPr>
        <w:spacing w:after="0" w:line="240" w:lineRule="auto"/>
        <w:rPr>
          <w:rFonts w:ascii="Times New Roman" w:eastAsia="Times New Roman" w:hAnsi="Times New Roman" w:cs="Times New Roman"/>
          <w:kern w:val="0"/>
          <w14:ligatures w14:val="none"/>
        </w:rPr>
      </w:pPr>
    </w:p>
    <w:p w14:paraId="68F9F52B" w14:textId="395D59E9" w:rsidR="001424AB" w:rsidRDefault="001424AB" w:rsidP="00FC4160">
      <w:pPr>
        <w:spacing w:after="0" w:line="240" w:lineRule="auto"/>
        <w:rPr>
          <w:rFonts w:ascii="Times New Roman" w:eastAsia="Times New Roman" w:hAnsi="Times New Roman" w:cs="Times New Roman"/>
          <w:kern w:val="0"/>
          <w14:ligatures w14:val="none"/>
        </w:rPr>
      </w:pPr>
      <w:r w:rsidRPr="001424AB">
        <w:rPr>
          <w:rFonts w:ascii="Times New Roman" w:eastAsia="Times New Roman" w:hAnsi="Times New Roman" w:cs="Times New Roman"/>
          <w:kern w:val="0"/>
          <w14:ligatures w14:val="none"/>
        </w:rPr>
        <w:lastRenderedPageBreak/>
        <w:t xml:space="preserve">Finalmente, con </w:t>
      </w:r>
      <w:r>
        <w:rPr>
          <w:rFonts w:ascii="Times New Roman" w:eastAsia="Times New Roman" w:hAnsi="Times New Roman" w:cs="Times New Roman"/>
          <w:kern w:val="0"/>
          <w14:ligatures w14:val="none"/>
        </w:rPr>
        <w:t xml:space="preserve">Apriori </w:t>
      </w:r>
      <w:r w:rsidRPr="001424AB">
        <w:rPr>
          <w:rFonts w:ascii="Times New Roman" w:eastAsia="Times New Roman" w:hAnsi="Times New Roman" w:cs="Times New Roman"/>
          <w:kern w:val="0"/>
          <w14:ligatures w14:val="none"/>
        </w:rPr>
        <w:t xml:space="preserve">se identificaron reglas </w:t>
      </w:r>
      <w:r w:rsidR="00585B9C">
        <w:rPr>
          <w:rFonts w:ascii="Times New Roman" w:eastAsia="Times New Roman" w:hAnsi="Times New Roman" w:cs="Times New Roman"/>
          <w:kern w:val="0"/>
          <w14:ligatures w14:val="none"/>
        </w:rPr>
        <w:t xml:space="preserve">de asociación relevantes, como </w:t>
      </w:r>
      <w:r w:rsidR="00585B9C" w:rsidRPr="00585B9C">
        <w:rPr>
          <w:rFonts w:ascii="Times New Roman" w:eastAsia="Times New Roman" w:hAnsi="Times New Roman" w:cs="Times New Roman"/>
          <w:kern w:val="0"/>
          <w14:ligatures w14:val="none"/>
        </w:rPr>
        <w:t xml:space="preserve">la </w:t>
      </w:r>
      <w:r w:rsidR="00585B9C">
        <w:rPr>
          <w:rFonts w:ascii="Times New Roman" w:eastAsia="Times New Roman" w:hAnsi="Times New Roman" w:cs="Times New Roman"/>
          <w:kern w:val="0"/>
          <w14:ligatures w14:val="none"/>
        </w:rPr>
        <w:t xml:space="preserve">combinación de </w:t>
      </w:r>
      <w:r w:rsidRPr="001424AB">
        <w:rPr>
          <w:rFonts w:ascii="Times New Roman" w:eastAsia="Times New Roman" w:hAnsi="Times New Roman" w:cs="Times New Roman"/>
          <w:kern w:val="0"/>
          <w14:ligatures w14:val="none"/>
        </w:rPr>
        <w:t>alta percepción de corrupción y baja confianza institucional, que coincide con territorios donde la carga tributaria efectiva es más baja de lo esperado.</w:t>
      </w:r>
    </w:p>
    <w:p w14:paraId="1ABFE988" w14:textId="77777777" w:rsidR="00585B9C" w:rsidRDefault="00585B9C" w:rsidP="00FC4160">
      <w:pPr>
        <w:spacing w:after="0" w:line="240" w:lineRule="auto"/>
        <w:rPr>
          <w:rFonts w:ascii="Times New Roman" w:eastAsia="Times New Roman" w:hAnsi="Times New Roman" w:cs="Times New Roman"/>
          <w:kern w:val="0"/>
          <w14:ligatures w14:val="none"/>
        </w:rPr>
      </w:pPr>
    </w:p>
    <w:p w14:paraId="49603196" w14:textId="33135222" w:rsidR="001424AB" w:rsidRPr="001424AB" w:rsidRDefault="001424AB" w:rsidP="00FC4160">
      <w:pPr>
        <w:spacing w:after="0" w:line="240" w:lineRule="auto"/>
        <w:rPr>
          <w:rFonts w:ascii="Times New Roman" w:eastAsia="Times New Roman" w:hAnsi="Times New Roman" w:cs="Times New Roman"/>
          <w:b/>
          <w:bCs/>
          <w:kern w:val="0"/>
          <w:sz w:val="36"/>
          <w:szCs w:val="36"/>
          <w14:ligatures w14:val="none"/>
        </w:rPr>
      </w:pPr>
      <w:r w:rsidRPr="001424AB">
        <w:rPr>
          <w:rFonts w:ascii="Times New Roman" w:eastAsia="Times New Roman" w:hAnsi="Times New Roman" w:cs="Times New Roman"/>
          <w:b/>
          <w:bCs/>
          <w:kern w:val="0"/>
          <w:sz w:val="36"/>
          <w:szCs w:val="36"/>
          <w14:ligatures w14:val="none"/>
        </w:rPr>
        <w:t>Recomendaciones de política pública</w:t>
      </w:r>
    </w:p>
    <w:p w14:paraId="259C5C96" w14:textId="77777777" w:rsidR="001424AB" w:rsidRDefault="001424AB" w:rsidP="00FC4160">
      <w:pPr>
        <w:spacing w:after="0" w:line="240" w:lineRule="auto"/>
        <w:rPr>
          <w:rFonts w:ascii="Times New Roman" w:eastAsia="Times New Roman" w:hAnsi="Times New Roman" w:cs="Times New Roman"/>
          <w:kern w:val="0"/>
          <w14:ligatures w14:val="none"/>
        </w:rPr>
      </w:pPr>
    </w:p>
    <w:p w14:paraId="3D794538" w14:textId="33A87CDE" w:rsidR="001424AB" w:rsidRDefault="00D72B12" w:rsidP="00FC4160">
      <w:pPr>
        <w:spacing w:after="0" w:line="240" w:lineRule="auto"/>
        <w:rPr>
          <w:rFonts w:ascii="Times New Roman" w:eastAsia="Times New Roman" w:hAnsi="Times New Roman" w:cs="Times New Roman"/>
          <w:kern w:val="0"/>
          <w14:ligatures w14:val="none"/>
        </w:rPr>
      </w:pPr>
      <w:r w:rsidRPr="00D72B12">
        <w:rPr>
          <w:rFonts w:ascii="Times New Roman" w:eastAsia="Times New Roman" w:hAnsi="Times New Roman" w:cs="Times New Roman"/>
          <w:kern w:val="0"/>
          <w14:ligatures w14:val="none"/>
        </w:rPr>
        <w:t>Para departamentos de alto recaudo, se recomienda fortalecer los sistemas de auditoría electrónica y los cruces de información tributaria. En aquellos de bajo recaudo, es pertinente promover la formalización empresarial y mejorar la capacidad institucional local. Finalmente, extender el análisis a datos sectoriales permitiría comprender de forma más precisa las dinámicas tributarias territoriales.</w:t>
      </w:r>
    </w:p>
    <w:p w14:paraId="4AC2283A" w14:textId="77777777" w:rsidR="00D72B12" w:rsidRDefault="00D72B12" w:rsidP="00FC4160">
      <w:pPr>
        <w:spacing w:after="0" w:line="240" w:lineRule="auto"/>
        <w:rPr>
          <w:rFonts w:ascii="Times New Roman" w:eastAsia="Times New Roman" w:hAnsi="Times New Roman" w:cs="Times New Roman"/>
          <w:kern w:val="0"/>
          <w14:ligatures w14:val="none"/>
        </w:rPr>
      </w:pPr>
    </w:p>
    <w:p w14:paraId="75C80095" w14:textId="194DCCEB" w:rsidR="00DB7DE4" w:rsidRDefault="00DB7DE4" w:rsidP="00FC4160">
      <w:pPr>
        <w:spacing w:after="0" w:line="240" w:lineRule="auto"/>
        <w:rPr>
          <w:rFonts w:ascii="Times New Roman" w:eastAsia="Times New Roman" w:hAnsi="Times New Roman" w:cs="Times New Roman"/>
          <w:b/>
          <w:bCs/>
          <w:kern w:val="0"/>
          <w:sz w:val="36"/>
          <w:szCs w:val="36"/>
          <w14:ligatures w14:val="none"/>
        </w:rPr>
      </w:pPr>
      <w:r w:rsidRPr="00DB7DE4">
        <w:rPr>
          <w:rFonts w:ascii="Times New Roman" w:eastAsia="Times New Roman" w:hAnsi="Times New Roman" w:cs="Times New Roman"/>
          <w:b/>
          <w:bCs/>
          <w:kern w:val="0"/>
          <w:sz w:val="36"/>
          <w:szCs w:val="36"/>
          <w14:ligatures w14:val="none"/>
        </w:rPr>
        <w:t>Limitaciones del estudio</w:t>
      </w:r>
    </w:p>
    <w:p w14:paraId="1D8EDBA4" w14:textId="77777777" w:rsidR="00DB7DE4" w:rsidRDefault="00DB7DE4" w:rsidP="00FC4160">
      <w:pPr>
        <w:spacing w:after="0" w:line="240" w:lineRule="auto"/>
        <w:rPr>
          <w:rFonts w:ascii="Times New Roman" w:eastAsia="Times New Roman" w:hAnsi="Times New Roman" w:cs="Times New Roman"/>
          <w:b/>
          <w:bCs/>
          <w:kern w:val="0"/>
          <w:sz w:val="36"/>
          <w:szCs w:val="36"/>
          <w14:ligatures w14:val="none"/>
        </w:rPr>
      </w:pPr>
    </w:p>
    <w:p w14:paraId="6B2F99F3" w14:textId="22C43357" w:rsidR="00D72B12" w:rsidRPr="00D72B12" w:rsidRDefault="00D72B12" w:rsidP="00FC4160">
      <w:pPr>
        <w:spacing w:after="0" w:line="240" w:lineRule="auto"/>
        <w:rPr>
          <w:rFonts w:ascii="Times New Roman" w:eastAsia="Times New Roman" w:hAnsi="Times New Roman" w:cs="Times New Roman"/>
          <w:kern w:val="0"/>
          <w14:ligatures w14:val="none"/>
        </w:rPr>
      </w:pPr>
      <w:r w:rsidRPr="00D72B12">
        <w:rPr>
          <w:rFonts w:ascii="Times New Roman" w:eastAsia="Times New Roman" w:hAnsi="Times New Roman" w:cs="Times New Roman"/>
          <w:kern w:val="0"/>
          <w14:ligatures w14:val="none"/>
        </w:rPr>
        <w:t>El análisis se basa en datos agregados por departamento, lo cual impide capturar diferencias sectoriales o identificar comportamientos individuales. Las técnicas no supervisadas revelan patrones, pero no permiten establecer causalidad. Además, la presencia de valores extremos en algunos departamentos podría influir la conformación de los clústeres.</w:t>
      </w:r>
    </w:p>
    <w:p w14:paraId="58256158" w14:textId="77777777" w:rsidR="00892B16" w:rsidRP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892B16">
        <w:rPr>
          <w:rFonts w:ascii="Times New Roman" w:eastAsia="Times New Roman" w:hAnsi="Times New Roman" w:cs="Times New Roman"/>
          <w:b/>
          <w:bCs/>
          <w:color w:val="000000"/>
          <w:kern w:val="0"/>
          <w:sz w:val="36"/>
          <w:szCs w:val="36"/>
          <w14:ligatures w14:val="none"/>
        </w:rPr>
        <w:t>Conclusiones</w:t>
      </w:r>
    </w:p>
    <w:p w14:paraId="2D1448C2"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Este proyecto demuestra que las técnicas de aprendizaje no supervisado pueden aportar valor a la lucha contra la evasión tributaria en Colombia. K-means, PCA y Apriori permiten agrupar contribuyentes, reducir complejidad y descubrir combinaciones de factores de riesgo.</w:t>
      </w:r>
    </w:p>
    <w:p w14:paraId="7E380181"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Los resultados contribuirán a un mejor entendimiento de la evasión como fenómeno económico y social, fortaleciendo a la DIAN y al Ministerio de Hacienda para mejorar el recaudo y reducir desigualdades fiscales.</w:t>
      </w:r>
    </w:p>
    <w:p w14:paraId="459EB98F"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Sin embargo, persisten desafíos: calidad y acceso a los datos, necesidad de proxies adecuados y protección de información sensible. Por ello, la IA debe ser vista como herramienta complementaria, nunca como sustituto de la supervisión humana.</w:t>
      </w:r>
    </w:p>
    <w:p w14:paraId="75417AFD" w14:textId="77777777" w:rsidR="00892B16" w:rsidRPr="00E70BD9" w:rsidRDefault="00892B16" w:rsidP="00892B1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E70BD9">
        <w:rPr>
          <w:rFonts w:ascii="Times New Roman" w:eastAsia="Times New Roman" w:hAnsi="Times New Roman" w:cs="Times New Roman"/>
          <w:color w:val="000000"/>
          <w:kern w:val="0"/>
          <w14:ligatures w14:val="none"/>
        </w:rPr>
        <w:t>En conclusión, la convergencia entre IA y economía pública abre un camino hacia políticas tributarias más efectivas, eficientes y equitativas.</w:t>
      </w:r>
    </w:p>
    <w:p w14:paraId="6C182628" w14:textId="6407385C" w:rsidR="00892B16" w:rsidRDefault="00892B16" w:rsidP="00892B16">
      <w:pPr>
        <w:spacing w:after="0" w:line="240" w:lineRule="auto"/>
        <w:jc w:val="both"/>
        <w:rPr>
          <w:rFonts w:ascii="Times New Roman" w:eastAsia="Times New Roman" w:hAnsi="Times New Roman" w:cs="Times New Roman"/>
          <w:kern w:val="0"/>
          <w14:ligatures w14:val="none"/>
        </w:rPr>
      </w:pPr>
    </w:p>
    <w:p w14:paraId="79220A09" w14:textId="77777777" w:rsidR="00ED79B8" w:rsidRDefault="00ED79B8" w:rsidP="00892B16">
      <w:pPr>
        <w:spacing w:after="0" w:line="240" w:lineRule="auto"/>
        <w:jc w:val="both"/>
        <w:rPr>
          <w:rFonts w:ascii="Times New Roman" w:eastAsia="Times New Roman" w:hAnsi="Times New Roman" w:cs="Times New Roman"/>
          <w:kern w:val="0"/>
          <w14:ligatures w14:val="none"/>
        </w:rPr>
      </w:pPr>
    </w:p>
    <w:p w14:paraId="445C3AA2" w14:textId="77777777" w:rsidR="00ED79B8" w:rsidRDefault="00ED79B8" w:rsidP="00892B16">
      <w:pPr>
        <w:spacing w:after="0" w:line="240" w:lineRule="auto"/>
        <w:jc w:val="both"/>
        <w:rPr>
          <w:rFonts w:ascii="Times New Roman" w:eastAsia="Times New Roman" w:hAnsi="Times New Roman" w:cs="Times New Roman"/>
          <w:kern w:val="0"/>
          <w14:ligatures w14:val="none"/>
        </w:rPr>
      </w:pPr>
    </w:p>
    <w:p w14:paraId="013B3D86" w14:textId="77777777" w:rsidR="00ED79B8" w:rsidRDefault="00ED79B8" w:rsidP="00892B16">
      <w:pPr>
        <w:spacing w:after="0" w:line="240" w:lineRule="auto"/>
        <w:jc w:val="both"/>
        <w:rPr>
          <w:rFonts w:ascii="Times New Roman" w:eastAsia="Times New Roman" w:hAnsi="Times New Roman" w:cs="Times New Roman"/>
          <w:kern w:val="0"/>
          <w14:ligatures w14:val="none"/>
        </w:rPr>
      </w:pPr>
    </w:p>
    <w:p w14:paraId="0976C5DF" w14:textId="77777777" w:rsidR="00ED79B8" w:rsidRDefault="00ED79B8" w:rsidP="00892B16">
      <w:pPr>
        <w:spacing w:after="0" w:line="240" w:lineRule="auto"/>
        <w:jc w:val="both"/>
        <w:rPr>
          <w:rFonts w:ascii="Times New Roman" w:eastAsia="Times New Roman" w:hAnsi="Times New Roman" w:cs="Times New Roman"/>
          <w:kern w:val="0"/>
          <w14:ligatures w14:val="none"/>
        </w:rPr>
      </w:pPr>
    </w:p>
    <w:p w14:paraId="6ECF0002" w14:textId="77777777" w:rsidR="00ED79B8" w:rsidRPr="00ED79B8" w:rsidRDefault="00ED79B8" w:rsidP="00892B16">
      <w:pPr>
        <w:spacing w:after="0" w:line="240" w:lineRule="auto"/>
        <w:jc w:val="both"/>
        <w:rPr>
          <w:rFonts w:ascii="Times New Roman" w:eastAsia="Times New Roman" w:hAnsi="Times New Roman" w:cs="Times New Roman"/>
          <w:kern w:val="0"/>
          <w14:ligatures w14:val="none"/>
        </w:rPr>
      </w:pPr>
    </w:p>
    <w:p w14:paraId="757CBC19" w14:textId="77777777" w:rsidR="00892B16" w:rsidRPr="00892B16" w:rsidRDefault="00892B16" w:rsidP="00892B16">
      <w:pPr>
        <w:spacing w:before="100" w:beforeAutospacing="1" w:after="100" w:afterAutospacing="1" w:line="240" w:lineRule="auto"/>
        <w:jc w:val="both"/>
        <w:outlineLvl w:val="1"/>
        <w:rPr>
          <w:rFonts w:ascii="Times New Roman" w:eastAsia="Times New Roman" w:hAnsi="Times New Roman" w:cs="Times New Roman"/>
          <w:b/>
          <w:bCs/>
          <w:color w:val="000000"/>
          <w:kern w:val="0"/>
          <w:sz w:val="36"/>
          <w:szCs w:val="36"/>
          <w14:ligatures w14:val="none"/>
        </w:rPr>
      </w:pPr>
      <w:r w:rsidRPr="00892B16">
        <w:rPr>
          <w:rFonts w:ascii="Times New Roman" w:eastAsia="Times New Roman" w:hAnsi="Times New Roman" w:cs="Times New Roman"/>
          <w:b/>
          <w:bCs/>
          <w:color w:val="000000"/>
          <w:kern w:val="0"/>
          <w:sz w:val="36"/>
          <w:szCs w:val="36"/>
          <w14:ligatures w14:val="none"/>
        </w:rPr>
        <w:t>Referencias</w:t>
      </w:r>
    </w:p>
    <w:p w14:paraId="4D48F6C1"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lastRenderedPageBreak/>
        <w:t>Banco Mundial. (2025). </w:t>
      </w:r>
      <w:r w:rsidRPr="00892B16">
        <w:rPr>
          <w:rFonts w:ascii="Times New Roman" w:eastAsia="Times New Roman" w:hAnsi="Times New Roman" w:cs="Times New Roman"/>
          <w:i/>
          <w:iCs/>
          <w:color w:val="000000"/>
          <w:kern w:val="0"/>
          <w14:ligatures w14:val="none"/>
        </w:rPr>
        <w:t>Innovaciones digitales en la gestión tributaria en América Latina</w:t>
      </w:r>
      <w:r w:rsidRPr="00892B16">
        <w:rPr>
          <w:rFonts w:ascii="Times New Roman" w:eastAsia="Times New Roman" w:hAnsi="Times New Roman" w:cs="Times New Roman"/>
          <w:color w:val="000000"/>
          <w:kern w:val="0"/>
          <w14:ligatures w14:val="none"/>
        </w:rPr>
        <w:t>. Washington D.C.</w:t>
      </w:r>
    </w:p>
    <w:p w14:paraId="032F24B5"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DIAN. (2024). </w:t>
      </w:r>
      <w:r w:rsidRPr="00892B16">
        <w:rPr>
          <w:rFonts w:ascii="Times New Roman" w:eastAsia="Times New Roman" w:hAnsi="Times New Roman" w:cs="Times New Roman"/>
          <w:i/>
          <w:iCs/>
          <w:color w:val="000000"/>
          <w:kern w:val="0"/>
          <w14:ligatures w14:val="none"/>
        </w:rPr>
        <w:t>Informe anual de gestión tributaria</w:t>
      </w:r>
      <w:r w:rsidRPr="00892B16">
        <w:rPr>
          <w:rFonts w:ascii="Times New Roman" w:eastAsia="Times New Roman" w:hAnsi="Times New Roman" w:cs="Times New Roman"/>
          <w:color w:val="000000"/>
          <w:kern w:val="0"/>
          <w14:ligatures w14:val="none"/>
        </w:rPr>
        <w:t>. Bogotá.</w:t>
      </w:r>
    </w:p>
    <w:p w14:paraId="429FD805"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MinTIC. (2025). </w:t>
      </w:r>
      <w:r w:rsidRPr="00892B16">
        <w:rPr>
          <w:rFonts w:ascii="Times New Roman" w:eastAsia="Times New Roman" w:hAnsi="Times New Roman" w:cs="Times New Roman"/>
          <w:i/>
          <w:iCs/>
          <w:color w:val="000000"/>
          <w:kern w:val="0"/>
          <w14:ligatures w14:val="none"/>
        </w:rPr>
        <w:t>Política Nacional de Inteligencia Artificial (CONPES 4144)</w:t>
      </w:r>
      <w:r w:rsidRPr="00892B16">
        <w:rPr>
          <w:rFonts w:ascii="Times New Roman" w:eastAsia="Times New Roman" w:hAnsi="Times New Roman" w:cs="Times New Roman"/>
          <w:color w:val="000000"/>
          <w:kern w:val="0"/>
          <w14:ligatures w14:val="none"/>
        </w:rPr>
        <w:t>. Bogotá.</w:t>
      </w:r>
    </w:p>
    <w:p w14:paraId="092F0E5D"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85B9C">
        <w:rPr>
          <w:rFonts w:ascii="Times New Roman" w:eastAsia="Times New Roman" w:hAnsi="Times New Roman" w:cs="Times New Roman"/>
          <w:color w:val="000000"/>
          <w:kern w:val="0"/>
          <w:lang w:val="en-GB"/>
          <w14:ligatures w14:val="none"/>
        </w:rPr>
        <w:t>OCDE. (2023). </w:t>
      </w:r>
      <w:r w:rsidRPr="00585B9C">
        <w:rPr>
          <w:rFonts w:ascii="Times New Roman" w:eastAsia="Times New Roman" w:hAnsi="Times New Roman" w:cs="Times New Roman"/>
          <w:i/>
          <w:iCs/>
          <w:color w:val="000000"/>
          <w:kern w:val="0"/>
          <w:lang w:val="en-GB"/>
          <w14:ligatures w14:val="none"/>
        </w:rPr>
        <w:t>Revenue Statistics in Latin America and the Caribbean</w:t>
      </w:r>
      <w:r w:rsidRPr="00585B9C">
        <w:rPr>
          <w:rFonts w:ascii="Times New Roman" w:eastAsia="Times New Roman" w:hAnsi="Times New Roman" w:cs="Times New Roman"/>
          <w:color w:val="000000"/>
          <w:kern w:val="0"/>
          <w:lang w:val="en-GB"/>
          <w14:ligatures w14:val="none"/>
        </w:rPr>
        <w:t xml:space="preserve">. </w:t>
      </w:r>
      <w:r w:rsidRPr="00892B16">
        <w:rPr>
          <w:rFonts w:ascii="Times New Roman" w:eastAsia="Times New Roman" w:hAnsi="Times New Roman" w:cs="Times New Roman"/>
          <w:color w:val="000000"/>
          <w:kern w:val="0"/>
          <w14:ligatures w14:val="none"/>
        </w:rPr>
        <w:t>Paris.</w:t>
      </w:r>
    </w:p>
    <w:p w14:paraId="6D46C865"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892B16">
        <w:rPr>
          <w:rFonts w:ascii="Times New Roman" w:eastAsia="Times New Roman" w:hAnsi="Times New Roman" w:cs="Times New Roman"/>
          <w:color w:val="000000"/>
          <w:kern w:val="0"/>
          <w14:ligatures w14:val="none"/>
        </w:rPr>
        <w:t>Ripani, L., Kugler, M., &amp; Soler, N. (2020). </w:t>
      </w:r>
      <w:r w:rsidRPr="00892B16">
        <w:rPr>
          <w:rFonts w:ascii="Times New Roman" w:eastAsia="Times New Roman" w:hAnsi="Times New Roman" w:cs="Times New Roman"/>
          <w:i/>
          <w:iCs/>
          <w:color w:val="000000"/>
          <w:kern w:val="0"/>
          <w14:ligatures w14:val="none"/>
        </w:rPr>
        <w:t>El futuro del trabajo en América Latina y el Caribe: ¿Cuál es el impacto de la automatización en el empleo y los salarios?</w:t>
      </w:r>
      <w:r w:rsidRPr="00892B16">
        <w:rPr>
          <w:rFonts w:ascii="Times New Roman" w:eastAsia="Times New Roman" w:hAnsi="Times New Roman" w:cs="Times New Roman"/>
          <w:color w:val="000000"/>
          <w:kern w:val="0"/>
          <w14:ligatures w14:val="none"/>
        </w:rPr>
        <w:t> BID.</w:t>
      </w:r>
    </w:p>
    <w:p w14:paraId="4F82B6E3" w14:textId="77777777" w:rsidR="00892B16" w:rsidRPr="00892B16" w:rsidRDefault="00892B16" w:rsidP="00892B1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85B9C">
        <w:rPr>
          <w:rFonts w:ascii="Times New Roman" w:eastAsia="Times New Roman" w:hAnsi="Times New Roman" w:cs="Times New Roman"/>
          <w:color w:val="000000"/>
          <w:kern w:val="0"/>
          <w:lang w:val="en-GB"/>
          <w14:ligatures w14:val="none"/>
        </w:rPr>
        <w:t>Torgler, B. (2016). </w:t>
      </w:r>
      <w:r w:rsidRPr="00585B9C">
        <w:rPr>
          <w:rFonts w:ascii="Times New Roman" w:eastAsia="Times New Roman" w:hAnsi="Times New Roman" w:cs="Times New Roman"/>
          <w:i/>
          <w:iCs/>
          <w:color w:val="000000"/>
          <w:kern w:val="0"/>
          <w:lang w:val="en-GB"/>
          <w14:ligatures w14:val="none"/>
        </w:rPr>
        <w:t>Tax compliance and evasion: an overview of theory and evidence</w:t>
      </w:r>
      <w:r w:rsidRPr="00585B9C">
        <w:rPr>
          <w:rFonts w:ascii="Times New Roman" w:eastAsia="Times New Roman" w:hAnsi="Times New Roman" w:cs="Times New Roman"/>
          <w:color w:val="000000"/>
          <w:kern w:val="0"/>
          <w:lang w:val="en-GB"/>
          <w14:ligatures w14:val="none"/>
        </w:rPr>
        <w:t xml:space="preserve">. </w:t>
      </w:r>
      <w:r w:rsidRPr="00892B16">
        <w:rPr>
          <w:rFonts w:ascii="Times New Roman" w:eastAsia="Times New Roman" w:hAnsi="Times New Roman" w:cs="Times New Roman"/>
          <w:color w:val="000000"/>
          <w:kern w:val="0"/>
          <w14:ligatures w14:val="none"/>
        </w:rPr>
        <w:t>World Bank.</w:t>
      </w:r>
    </w:p>
    <w:p w14:paraId="2747C164" w14:textId="77777777" w:rsidR="000B5F21" w:rsidRPr="00892B16" w:rsidRDefault="000B5F21" w:rsidP="00892B16">
      <w:pPr>
        <w:jc w:val="both"/>
        <w:rPr>
          <w:rFonts w:ascii="Times New Roman" w:hAnsi="Times New Roman" w:cs="Times New Roman"/>
        </w:rPr>
      </w:pPr>
    </w:p>
    <w:sectPr w:rsidR="000B5F21" w:rsidRPr="00892B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5A8"/>
    <w:multiLevelType w:val="multilevel"/>
    <w:tmpl w:val="107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49AB"/>
    <w:multiLevelType w:val="multilevel"/>
    <w:tmpl w:val="C15C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C4A4D"/>
    <w:multiLevelType w:val="multilevel"/>
    <w:tmpl w:val="45E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90CDD"/>
    <w:multiLevelType w:val="multilevel"/>
    <w:tmpl w:val="5DC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379DD"/>
    <w:multiLevelType w:val="multilevel"/>
    <w:tmpl w:val="EAD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E4258"/>
    <w:multiLevelType w:val="multilevel"/>
    <w:tmpl w:val="B6F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B2EEB"/>
    <w:multiLevelType w:val="multilevel"/>
    <w:tmpl w:val="52D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20816">
    <w:abstractNumId w:val="1"/>
  </w:num>
  <w:num w:numId="2" w16cid:durableId="421604966">
    <w:abstractNumId w:val="6"/>
  </w:num>
  <w:num w:numId="3" w16cid:durableId="1801729741">
    <w:abstractNumId w:val="3"/>
  </w:num>
  <w:num w:numId="4" w16cid:durableId="376927936">
    <w:abstractNumId w:val="2"/>
  </w:num>
  <w:num w:numId="5" w16cid:durableId="75790237">
    <w:abstractNumId w:val="5"/>
  </w:num>
  <w:num w:numId="6" w16cid:durableId="624583007">
    <w:abstractNumId w:val="0"/>
  </w:num>
  <w:num w:numId="7" w16cid:durableId="1664553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16"/>
    <w:rsid w:val="00010036"/>
    <w:rsid w:val="00015021"/>
    <w:rsid w:val="00081F47"/>
    <w:rsid w:val="000B5F21"/>
    <w:rsid w:val="001424AB"/>
    <w:rsid w:val="00294314"/>
    <w:rsid w:val="003F4A41"/>
    <w:rsid w:val="004A6799"/>
    <w:rsid w:val="00585B9C"/>
    <w:rsid w:val="00652FE6"/>
    <w:rsid w:val="006E2746"/>
    <w:rsid w:val="00764E67"/>
    <w:rsid w:val="00852B80"/>
    <w:rsid w:val="00892B16"/>
    <w:rsid w:val="00BA6887"/>
    <w:rsid w:val="00CA4E2A"/>
    <w:rsid w:val="00D72B12"/>
    <w:rsid w:val="00DB7DE4"/>
    <w:rsid w:val="00E70BD9"/>
    <w:rsid w:val="00ED79B8"/>
    <w:rsid w:val="00F512C0"/>
    <w:rsid w:val="00FC4160"/>
    <w:rsid w:val="00FD1D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D01A"/>
  <w15:chartTrackingRefBased/>
  <w15:docId w15:val="{EEEFEAC7-50A8-4E4D-9962-7DFEDA8A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2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2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2B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2B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2B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2B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2B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2B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2B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2B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2B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2B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2B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2B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2B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2B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2B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2B16"/>
    <w:rPr>
      <w:rFonts w:eastAsiaTheme="majorEastAsia" w:cstheme="majorBidi"/>
      <w:color w:val="272727" w:themeColor="text1" w:themeTint="D8"/>
    </w:rPr>
  </w:style>
  <w:style w:type="paragraph" w:styleId="Ttulo">
    <w:name w:val="Title"/>
    <w:basedOn w:val="Normal"/>
    <w:next w:val="Normal"/>
    <w:link w:val="TtuloCar"/>
    <w:uiPriority w:val="10"/>
    <w:qFormat/>
    <w:rsid w:val="00892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B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2B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2B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2B16"/>
    <w:pPr>
      <w:spacing w:before="160"/>
      <w:jc w:val="center"/>
    </w:pPr>
    <w:rPr>
      <w:i/>
      <w:iCs/>
      <w:color w:val="404040" w:themeColor="text1" w:themeTint="BF"/>
    </w:rPr>
  </w:style>
  <w:style w:type="character" w:customStyle="1" w:styleId="CitaCar">
    <w:name w:val="Cita Car"/>
    <w:basedOn w:val="Fuentedeprrafopredeter"/>
    <w:link w:val="Cita"/>
    <w:uiPriority w:val="29"/>
    <w:rsid w:val="00892B16"/>
    <w:rPr>
      <w:i/>
      <w:iCs/>
      <w:color w:val="404040" w:themeColor="text1" w:themeTint="BF"/>
    </w:rPr>
  </w:style>
  <w:style w:type="paragraph" w:styleId="Prrafodelista">
    <w:name w:val="List Paragraph"/>
    <w:basedOn w:val="Normal"/>
    <w:uiPriority w:val="34"/>
    <w:qFormat/>
    <w:rsid w:val="00892B16"/>
    <w:pPr>
      <w:ind w:left="720"/>
      <w:contextualSpacing/>
    </w:pPr>
  </w:style>
  <w:style w:type="character" w:styleId="nfasisintenso">
    <w:name w:val="Intense Emphasis"/>
    <w:basedOn w:val="Fuentedeprrafopredeter"/>
    <w:uiPriority w:val="21"/>
    <w:qFormat/>
    <w:rsid w:val="00892B16"/>
    <w:rPr>
      <w:i/>
      <w:iCs/>
      <w:color w:val="0F4761" w:themeColor="accent1" w:themeShade="BF"/>
    </w:rPr>
  </w:style>
  <w:style w:type="paragraph" w:styleId="Citadestacada">
    <w:name w:val="Intense Quote"/>
    <w:basedOn w:val="Normal"/>
    <w:next w:val="Normal"/>
    <w:link w:val="CitadestacadaCar"/>
    <w:uiPriority w:val="30"/>
    <w:qFormat/>
    <w:rsid w:val="00892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2B16"/>
    <w:rPr>
      <w:i/>
      <w:iCs/>
      <w:color w:val="0F4761" w:themeColor="accent1" w:themeShade="BF"/>
    </w:rPr>
  </w:style>
  <w:style w:type="character" w:styleId="Referenciaintensa">
    <w:name w:val="Intense Reference"/>
    <w:basedOn w:val="Fuentedeprrafopredeter"/>
    <w:uiPriority w:val="32"/>
    <w:qFormat/>
    <w:rsid w:val="00892B16"/>
    <w:rPr>
      <w:b/>
      <w:bCs/>
      <w:smallCaps/>
      <w:color w:val="0F4761" w:themeColor="accent1" w:themeShade="BF"/>
      <w:spacing w:val="5"/>
    </w:rPr>
  </w:style>
  <w:style w:type="paragraph" w:styleId="NormalWeb">
    <w:name w:val="Normal (Web)"/>
    <w:basedOn w:val="Normal"/>
    <w:uiPriority w:val="99"/>
    <w:semiHidden/>
    <w:unhideWhenUsed/>
    <w:rsid w:val="00892B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Fuentedeprrafopredeter"/>
    <w:rsid w:val="00892B16"/>
  </w:style>
  <w:style w:type="character" w:styleId="Textoennegrita">
    <w:name w:val="Strong"/>
    <w:basedOn w:val="Fuentedeprrafopredeter"/>
    <w:uiPriority w:val="22"/>
    <w:qFormat/>
    <w:rsid w:val="00892B16"/>
    <w:rPr>
      <w:b/>
      <w:bCs/>
    </w:rPr>
  </w:style>
  <w:style w:type="character" w:styleId="CdigoHTML">
    <w:name w:val="HTML Code"/>
    <w:basedOn w:val="Fuentedeprrafopredeter"/>
    <w:uiPriority w:val="99"/>
    <w:semiHidden/>
    <w:unhideWhenUsed/>
    <w:rsid w:val="00892B16"/>
    <w:rPr>
      <w:rFonts w:ascii="Courier New" w:eastAsia="Times New Roman" w:hAnsi="Courier New" w:cs="Courier New"/>
      <w:sz w:val="20"/>
      <w:szCs w:val="20"/>
    </w:rPr>
  </w:style>
  <w:style w:type="character" w:styleId="nfasis">
    <w:name w:val="Emphasis"/>
    <w:basedOn w:val="Fuentedeprrafopredeter"/>
    <w:uiPriority w:val="20"/>
    <w:qFormat/>
    <w:rsid w:val="00892B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2632</Words>
  <Characters>14481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Medina Castro</dc:creator>
  <cp:keywords/>
  <dc:description/>
  <cp:lastModifiedBy>Edgardo René Sánchez Mejia</cp:lastModifiedBy>
  <cp:revision>5</cp:revision>
  <dcterms:created xsi:type="dcterms:W3CDTF">2025-11-27T01:41:00Z</dcterms:created>
  <dcterms:modified xsi:type="dcterms:W3CDTF">2025-11-27T02:49:00Z</dcterms:modified>
</cp:coreProperties>
</file>