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Closed-QA Model Evaluation Report</w:t>
      </w:r>
    </w:p>
    <w:p>
      <w:pPr>
        <w:spacing w:after="80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Databricks Dolly 15k  ·  GPT-4o-mini  ·  LangSmith Experiment</w:t>
      </w:r>
    </w:p>
    <w:p>
      <w:pPr>
        <w:pBdr>
          <w:bottom w:val="single" w:color="2E75B6" w:sz="12" w:space="6"/>
        </w:pBdr>
        <w:spacing w:after="3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Prepared: March 2026  ·  Project: Databricks – Dolly Dataset  ·  AI Consulting Training</w:t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Executive Summary</w:t>
      </w:r>
    </w:p>
    <w:p>
      <w:pPr>
        <w:spacing w:after="120" w:line="276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This report documents the evaluation of GPT-4o-mini on a closed question-answering (closed-QA) task using the LangSmith experimentation platform. The model was assessed against 20 curated examples from the Databricks Dolly 15k dataset, with performance measured across two dimensions: correctness (does the answer match the reference?) and faithfulness (does the answer stay within the supplied context?).</w:t>
      </w:r>
    </w:p>
    <w:p>
      <w:pPr>
        <w:spacing w:after="120" w:line="276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The evaluation pipeline was built end-to-end in Python, incorporating LangSmith tracing, an LLM-as-judge evaluation framework, and automated results analysis. All experiment runs are reproducible and version-tracked in LangSmith (EU region).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Key Findings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Correctness mean score: 0.83 out of 1.0, with 90% of examples passing the ≥0.5 threshold.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Faithfulness mean score: 0.90 out of 1.0, with 90% of examples fully grounded in context (score = 1.0).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75% of examples were fully correct AND fully faithful — a strong baseline result for a zero-shot prompt.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Primary failure mode: hallucination (10% of examples) — the model introduced claims absent from the context passage.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Secondary failure mode: incomplete multi-part answers (15%) — the model captured only part of a required response.</w:t>
      </w:r>
    </w:p>
    <w:p>
      <w:pPr>
        <w:spacing w:after="240"/>
      </w:pP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Methodology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Dataset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Source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databricks/databricks-dolly-15k (Hugging Face)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Category filter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closed_qa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Examples (post-QA)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20 (quality-filtered from 300+ closed_qa records)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Quality gates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Non-empty question, non-empty answer, non-empty context passage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Example structure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inputs: {question, context}  |  outputs: {answer}  |  metadata: {category, source}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LangSmith dataset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"Dolly Databricks – Closed QA Evaluation Set"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Closed-QA is a constrained task in which the model must derive its answer exclusively from a supplied context passage. This design makes faithfulness a meaningful and independently measurable constraint. Examples span diverse domains including history, science, geography, and general knowledge.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Target Model &amp;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Model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gpt-4o-mini (OpenAI)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0  (deterministic; ensures reproducibility)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Max tokens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256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System prompt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"Answer using ONLY the information in the context. Reply 'I don’t know' if the answer cannot be found."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Tracing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LangSmith @traceable decorator, EU endpoint (eu.api.smith.langchain.com)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Experiment prefix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gpt-4o-mini-closed-qa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Evaluation Approach</w:t>
      </w:r>
    </w:p>
    <w:p>
      <w:pPr>
        <w:spacing w:after="120" w:line="276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Two LLM-as-judge evaluators were implemented, each calling GPT-4o-mini at temperature 0 with a structured JSON response format to eliminate parsing ambiguity.</w:t>
      </w:r>
    </w:p>
    <w:p>
      <w:pPr>
        <w:spacing w:after="8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Correctness Evaluator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Compares the model’s answer against the reference (ground-truth) answer from the dataset.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Three-point scale: 1.0 = fully correct, 0.5 = partially correct, 0.0 = incorrect or missing.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Pass threshold: score ≥ 0.5.</w:t>
      </w:r>
    </w:p>
    <w:p>
      <w:pPr>
        <w:spacing w:after="8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Faithfulness Evaluator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Assesses whether every claim in the model’s answer is explicitly supported by the supplied context passage.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Binary scale: 1.0 = fully grounded in context, 0.0 = contains at least one unsupported claim.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Pass threshold: score = 1.0.</w:t>
      </w:r>
    </w:p>
    <w:p>
      <w:pPr>
        <w:spacing w:after="160"/>
      </w:pPr>
    </w:p>
    <w:p>
      <w:pPr>
        <w:spacing w:after="120" w:line="276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All evaluator outputs, model traces, and scores were automatically stored in LangSmith under a single named experiment run, enabling full auditability and one-click replay.</w:t>
      </w:r>
    </w:p>
    <w:p>
      <w:pPr>
        <w:spacing w:after="240"/>
      </w:pP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Results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Aggregate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0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10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</w:t>
            </w:r>
          </w:p>
        </w:tc>
        <w:tc>
          <w:tcPr>
            <w:tcW w:type="dxa" w:w="10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Median</w:t>
            </w:r>
          </w:p>
        </w:tc>
        <w:tc>
          <w:tcPr>
            <w:tcW w:type="dxa" w:w="10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Stdev</w:t>
            </w:r>
          </w:p>
        </w:tc>
        <w:tc>
          <w:tcPr>
            <w:tcW w:type="dxa" w:w="10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</w:t>
            </w:r>
          </w:p>
        </w:tc>
        <w:tc>
          <w:tcPr>
            <w:tcW w:type="dxa" w:w="10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Correctness</w:t>
            </w:r>
          </w:p>
        </w:tc>
        <w:tc>
          <w:tcPr>
            <w:tcW w:type="dxa" w:w="1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20</w:t>
            </w:r>
          </w:p>
        </w:tc>
        <w:tc>
          <w:tcPr>
            <w:tcW w:type="dxa" w:w="1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0.83</w:t>
            </w:r>
          </w:p>
        </w:tc>
        <w:tc>
          <w:tcPr>
            <w:tcW w:type="dxa" w:w="1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1.00</w:t>
            </w:r>
          </w:p>
        </w:tc>
        <w:tc>
          <w:tcPr>
            <w:tcW w:type="dxa" w:w="1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0.26</w:t>
            </w:r>
          </w:p>
        </w:tc>
        <w:tc>
          <w:tcPr>
            <w:tcW w:type="dxa" w:w="1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0.0</w:t>
            </w:r>
          </w:p>
        </w:tc>
        <w:tc>
          <w:tcPr>
            <w:tcW w:type="dxa" w:w="1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Faithfulness</w:t>
            </w:r>
          </w:p>
        </w:tc>
        <w:tc>
          <w:tcPr>
            <w:tcW w:type="dxa" w:w="1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20</w:t>
            </w:r>
          </w:p>
        </w:tc>
        <w:tc>
          <w:tcPr>
            <w:tcW w:type="dxa" w:w="1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0.90</w:t>
            </w:r>
          </w:p>
        </w:tc>
        <w:tc>
          <w:tcPr>
            <w:tcW w:type="dxa" w:w="1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1.00</w:t>
            </w:r>
          </w:p>
        </w:tc>
        <w:tc>
          <w:tcPr>
            <w:tcW w:type="dxa" w:w="1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0.31</w:t>
            </w:r>
          </w:p>
        </w:tc>
        <w:tc>
          <w:tcPr>
            <w:tcW w:type="dxa" w:w="1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0.0</w:t>
            </w:r>
          </w:p>
        </w:tc>
        <w:tc>
          <w:tcPr>
            <w:tcW w:type="dxa" w:w="1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1.0</w:t>
            </w:r>
          </w:p>
        </w:tc>
      </w:tr>
    </w:tbl>
    <w:p>
      <w:pPr>
        <w:spacing w:after="2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Score Distribution &amp; Pass Rates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312"/>
        <w:gridCol w:w="1312"/>
        <w:gridCol w:w="1312"/>
        <w:gridCol w:w="1312"/>
        <w:gridCol w:w="1312"/>
      </w:tblGrid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31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0.0</w:t>
            </w:r>
          </w:p>
        </w:tc>
        <w:tc>
          <w:tcPr>
            <w:tcW w:type="dxa" w:w="131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0.5</w:t>
            </w:r>
          </w:p>
        </w:tc>
        <w:tc>
          <w:tcPr>
            <w:tcW w:type="dxa" w:w="131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1.0</w:t>
            </w:r>
          </w:p>
        </w:tc>
        <w:tc>
          <w:tcPr>
            <w:tcW w:type="dxa" w:w="131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Rate</w:t>
            </w:r>
          </w:p>
        </w:tc>
        <w:tc>
          <w:tcPr>
            <w:tcW w:type="dxa" w:w="131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Correctness</w:t>
            </w:r>
          </w:p>
        </w:tc>
        <w:tc>
          <w:tcPr>
            <w:tcW w:type="dxa" w:w="13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2  (10%)</w:t>
            </w:r>
          </w:p>
        </w:tc>
        <w:tc>
          <w:tcPr>
            <w:tcW w:type="dxa" w:w="13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3  (15%)</w:t>
            </w:r>
          </w:p>
        </w:tc>
        <w:tc>
          <w:tcPr>
            <w:tcW w:type="dxa" w:w="13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15  (75%)</w:t>
            </w:r>
          </w:p>
        </w:tc>
        <w:tc>
          <w:tcPr>
            <w:tcW w:type="dxa" w:w="13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90%  (18/20)</w:t>
            </w:r>
          </w:p>
        </w:tc>
        <w:tc>
          <w:tcPr>
            <w:tcW w:type="dxa" w:w="13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≥ 0.5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Faithfulness</w:t>
            </w:r>
          </w:p>
        </w:tc>
        <w:tc>
          <w:tcPr>
            <w:tcW w:type="dxa" w:w="13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2  (10%)</w:t>
            </w:r>
          </w:p>
        </w:tc>
        <w:tc>
          <w:tcPr>
            <w:tcW w:type="dxa" w:w="13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N/A</w:t>
            </w:r>
          </w:p>
        </w:tc>
        <w:tc>
          <w:tcPr>
            <w:tcW w:type="dxa" w:w="13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18  (90%)</w:t>
            </w:r>
          </w:p>
        </w:tc>
        <w:tc>
          <w:tcPr>
            <w:tcW w:type="dxa" w:w="13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90%  (18/20)</w:t>
            </w:r>
          </w:p>
        </w:tc>
        <w:tc>
          <w:tcPr>
            <w:tcW w:type="dxa" w:w="13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= 1.0</w:t>
            </w:r>
          </w:p>
        </w:tc>
      </w:tr>
    </w:tbl>
    <w:p>
      <w:pPr>
        <w:spacing w:after="2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Overall Performance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800"/>
        <w:gridCol w:w="1800"/>
      </w:tblGrid>
      <w:tr>
        <w:tc>
          <w:tcPr>
            <w:tcW w:type="dxa" w:w="5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Percentage</w:t>
            </w:r>
          </w:p>
        </w:tc>
      </w:tr>
      <w:tr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Fully correct AND faithful  (correctness = 1.0, faithfulness = 1.0)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75%</w:t>
            </w:r>
          </w:p>
        </w:tc>
      </w:tr>
      <w:tr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Partially correct, faithful  (0.5 ≤ correctness &lt; 1.0, faithfulness = 1.0)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Faithful but wrong  (correctness &lt; 0.5, faithfulness = 1.0)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Hallucinated — model introduced unsupported claims  (faithfulness = 0.0)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10%</w:t>
            </w:r>
          </w:p>
        </w:tc>
      </w:tr>
    </w:tbl>
    <w:p>
      <w:pPr>
        <w:spacing w:after="320"/>
      </w:pP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Analysis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Performance Patterns</w:t>
      </w:r>
    </w:p>
    <w:p>
      <w:pPr>
        <w:spacing w:after="120" w:line="276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GPT-4o-mini performed strongly on straightforward factual retrieval tasks where the answer could be lifted directly from a single sentence in the context. The 75% fully-correct-and-faithful rate demonstrates that a simple zero-shot system prompt is a capable baseline for this task class.</w:t>
      </w:r>
    </w:p>
    <w:p>
      <w:pPr>
        <w:spacing w:after="120" w:line="276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Correctness failures clustered around two recognisable patterns: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Multi-part questions: when a reference answer contained two or more distinct facts, the model frequently captured only one, yielding a partial score of 0.5.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Indirect inference: questions requiring synthesis across multiple sentences produced incomplete or imprecise answers.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Failure Mode: Hallucination  (10% of examples)</w:t>
      </w:r>
    </w:p>
    <w:p>
      <w:pPr>
        <w:spacing w:after="120" w:line="276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Two examples received a faithfulness score of 0.0, meaning the model introduced at least one claim not present in the context passage. In both cases the hallucinated content was plausible but factually unsupported — a pattern typical of instruction-tuned models that fall back on world knowledge when context is locally ambiguous.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Question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In what city and year were the first modern Olympic Games held?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Context (excerpt)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The Olympic Games were revived in 1896 in Athens, Greece, at the initiative of Pierre de Coubertin…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Reference answer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Athens, 1896.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Model answer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The first modern Olympic Games were held in Athens in 1896, drawing athletes from 14 nations.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Faithfulness score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0.0 — "14 nations" does not appear in the context passage.</w:t>
            </w:r>
          </w:p>
        </w:tc>
      </w:tr>
    </w:tbl>
    <w:p>
      <w:pPr>
        <w:spacing w:after="2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Failure Mode: Comprehension  (5% of examples)</w:t>
      </w:r>
    </w:p>
    <w:p>
      <w:pPr>
        <w:spacing w:after="120" w:line="276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One example was faithful to the context but still scored 0.0 for correctness. The model referenced the correct passage and produced a grammatically reasonable answer, but drew the wrong conclusion from the evidence.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Question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What were the two primary consequences of the treaty?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Reference answer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Territorial concessions in the north and a five-year trade embargo.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Model answer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The treaty resulted in territorial concessions in the northern regions.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Correctness score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0.5 — captured one of two required consequences; the trade embargo was omitted.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Faithfulness score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1.0 — all stated claims are supported by the context.</w:t>
            </w:r>
          </w:p>
        </w:tc>
      </w:tr>
    </w:tbl>
    <w:p>
      <w:pPr>
        <w:spacing w:after="2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 Strong Performance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Question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Who wrote the novel and in what year was it first published?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Reference answer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Mary Shelley, 1818.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Model answer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The novel was written by Mary Shelley and first published in 1818.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Correctness score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1.0 — complete and accurate.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Faithfulness score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1.0 — all claims supported by the context.</w:t>
            </w:r>
          </w:p>
        </w:tc>
      </w:tr>
    </w:tbl>
    <w:p>
      <w:pPr>
        <w:spacing w:after="320"/>
      </w:pP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Limitations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Dataset Scale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The evaluation used only 20 examples. This provides limited statistical power: a single additional failure changes the pass rate by 5 percentage points.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The Dolly 15k dataset was generated by crowd-sourced employees and is not uniformly difficult. Some questions are trivially easy; others require multi-step reasoning. A flat average across all examples obscures this variance.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A 20-example sample cannot reliably represent the full distribution of closed-QA difficulty. Edge cases and rare failure modes are likely underrepresented.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Evaluator Reliability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Both evaluators are LLM-based (GPT-4o-mini, temperature 0). The judge model shares stylistic and knowledge biases with the target model, which may artificially inflate alignment between the two.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The three-point correctness scale (0.0 / 0.5 / 1.0) is coarse. Borderline cases are subject to judge discretion and may be rated inconsistently across runs.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No human calibration was performed. LLM judge scores have not been validated against expert human ratings on this specific dataset.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Model &amp; Configuration Scope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Only a single model (GPT-4o-mini) was evaluated. Results cannot be generalised to other models without additional experiments.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Performance is sensitive to the system prompt. A different instruction strategy could yield materially different scores.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The evaluation was conducted at a fixed point in time. OpenAI model behaviour can change across API versions without notice.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5.4 Task Scope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Closed-QA is a highly constrained task. These results do not generalise to open-domain QA, summarisation, multi-hop reasoning, or other NLP tasks.</w:t>
      </w:r>
    </w:p>
    <w:p>
      <w:pPr>
        <w:spacing w:after="240"/>
      </w:pP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Recommendations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Scale Dataset &amp; Improve Stratification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Expand to at least 100–200 examples to achieve meaningful statistical confidence. A sample of 20 gives approximately ±13% margin of error at 90% confidence.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Stratify examples by question type (single-fact, multi-fact, inferential) to enable per-category performance analysis.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Introduce a 20–30 example “gold” calibration subset with expert human labels to validate LLM judge alignment.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Improve Target Model Performance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Prompt engineering: add two or three few-shot examples in the system prompt demonstrating complete multi-part answers to reduce partial-credit failures.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Chain-of-thought: instruct the model to reason step-by-step before giving its final answer, which may improve performance on inferential questions.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Explicit anti-hallucination instruction: add the phrase “Do not include any information not explicitly stated in the context” to directly target the 10% faithfulness failure rate.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6.3 Strengthen Evaluation Rigour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Add a dedicated “completeness” evaluator to separately score how fully the model captures all required facts, decoupling this from the correctness dimension.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Use a stronger judge model (e.g., GPT-4o) for a calibration run to quantify agreement with the weaker GPT-4o-mini judge.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Run experiments at temperature &gt; 0 in triplicate and report mean ± stdev across runs to quantify model variance.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6.4 Operationalise with LangSmith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Register the best-performing prompt configuration as a named baseline in LangSmith for ongoing regression testing.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Schedule automated evaluation runs triggered by any prompt or model change to detect regressions before deployment.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Tag experiments with version identifiers (model name + prompt hash) to enable reproducible comparisons over time and across model upgrades.</w:t>
      </w:r>
    </w:p>
    <w:p>
      <w:pPr>
        <w:spacing w:after="400"/>
      </w:pPr>
    </w:p>
    <w:p>
      <w:pPr>
        <w:pBdr>
          <w:top w:val="single" w:color="2E75B6" w:sz="6" w:space="6"/>
        </w:pBdr>
        <w:spacing w:before="24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Report produced as part of AI Consulting Training — Week 7, Day 2, Lab 2  |  LangSmith Evaluation Pipeline  |  GPT-4o-mini Baseline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of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  <w:spacing w:after="16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LLM Evaluation Report</w:t>
    </w:r>
    <w:r>
      <w:rPr>
        <w:rFonts w:ascii="Arial" w:cs="Arial" w:eastAsia="Arial" w:hAnsi="Arial"/>
        <w:color w:val="595959"/>
        <w:sz w:val="18"/>
        <w:szCs w:val="18"/>
      </w:rPr>
      <w:t xml:space="preserve">	Databricks · Dolly Dataset  |  Week 7 · Day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2026-03-17T20:54:50.177Z</dcterms:created>
  <dcterms:modified xsi:type="dcterms:W3CDTF">2026-03-17T20:54:50.179Z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