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52698" w:rsidRDefault="00000000" w:rsidP="007E445C">
      <w:pPr>
        <w:spacing w:before="480" w:line="360" w:lineRule="auto"/>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Khanmigo</w:t>
      </w:r>
      <w:proofErr w:type="spellEnd"/>
      <w:r>
        <w:rPr>
          <w:rFonts w:ascii="Times New Roman" w:eastAsia="Times New Roman" w:hAnsi="Times New Roman" w:cs="Times New Roman"/>
          <w:b/>
          <w:sz w:val="24"/>
          <w:szCs w:val="24"/>
        </w:rPr>
        <w:t xml:space="preserve"> Writing Coach: An </w:t>
      </w:r>
      <w:proofErr w:type="spellStart"/>
      <w:r>
        <w:rPr>
          <w:rFonts w:ascii="Times New Roman" w:eastAsia="Times New Roman" w:hAnsi="Times New Roman" w:cs="Times New Roman"/>
          <w:b/>
          <w:sz w:val="24"/>
          <w:szCs w:val="24"/>
        </w:rPr>
        <w:t>Instructionist</w:t>
      </w:r>
      <w:proofErr w:type="spellEnd"/>
      <w:r>
        <w:rPr>
          <w:rFonts w:ascii="Times New Roman" w:eastAsia="Times New Roman" w:hAnsi="Times New Roman" w:cs="Times New Roman"/>
          <w:b/>
          <w:sz w:val="24"/>
          <w:szCs w:val="24"/>
        </w:rPr>
        <w:t xml:space="preserve"> &amp; Constructionist Analysis</w:t>
      </w:r>
    </w:p>
    <w:p w14:paraId="00000002" w14:textId="77777777" w:rsidR="00052698" w:rsidRPr="008E41BB" w:rsidRDefault="00000000" w:rsidP="007E445C">
      <w:pPr>
        <w:spacing w:before="240" w:after="240" w:line="360" w:lineRule="auto"/>
        <w:jc w:val="both"/>
        <w:rPr>
          <w:rFonts w:ascii="Times New Roman" w:eastAsia="Times New Roman" w:hAnsi="Times New Roman" w:cs="Times New Roman"/>
          <w:sz w:val="24"/>
          <w:szCs w:val="24"/>
        </w:rPr>
      </w:pPr>
      <w:proofErr w:type="spellStart"/>
      <w:r w:rsidRPr="008E41BB">
        <w:rPr>
          <w:rFonts w:ascii="Times New Roman" w:eastAsia="Times New Roman" w:hAnsi="Times New Roman" w:cs="Times New Roman"/>
          <w:sz w:val="24"/>
          <w:szCs w:val="24"/>
        </w:rPr>
        <w:t>Khanmigo</w:t>
      </w:r>
      <w:proofErr w:type="spellEnd"/>
      <w:r w:rsidRPr="008E41BB">
        <w:rPr>
          <w:rFonts w:ascii="Times New Roman" w:eastAsia="Times New Roman" w:hAnsi="Times New Roman" w:cs="Times New Roman"/>
          <w:sz w:val="24"/>
          <w:szCs w:val="24"/>
        </w:rPr>
        <w:t xml:space="preserve"> Writing Coach is an AI-powered tutoring tool developed by Khan Academy that supports students in grades 7–12 with persuasive, explanatory, and literary analysis writing. The platform guides learners through sequential stages of the writing process: understanding prompts, outlining, drafting, and revising, while offering feedback and suggestions without grading student work. Built with alerts to prevent plagiarism and overreliance on AI, </w:t>
      </w:r>
      <w:proofErr w:type="spellStart"/>
      <w:r w:rsidRPr="008E41BB">
        <w:rPr>
          <w:rFonts w:ascii="Times New Roman" w:eastAsia="Times New Roman" w:hAnsi="Times New Roman" w:cs="Times New Roman"/>
          <w:sz w:val="24"/>
          <w:szCs w:val="24"/>
        </w:rPr>
        <w:t>Khanmigo</w:t>
      </w:r>
      <w:proofErr w:type="spellEnd"/>
      <w:r w:rsidRPr="008E41BB">
        <w:rPr>
          <w:rFonts w:ascii="Times New Roman" w:eastAsia="Times New Roman" w:hAnsi="Times New Roman" w:cs="Times New Roman"/>
          <w:sz w:val="24"/>
          <w:szCs w:val="24"/>
        </w:rPr>
        <w:t xml:space="preserve"> serves as a writing companion that helps students develop their skills step by step. This paper first examines how </w:t>
      </w:r>
      <w:proofErr w:type="spellStart"/>
      <w:r w:rsidRPr="008E41BB">
        <w:rPr>
          <w:rFonts w:ascii="Times New Roman" w:eastAsia="Times New Roman" w:hAnsi="Times New Roman" w:cs="Times New Roman"/>
          <w:sz w:val="24"/>
          <w:szCs w:val="24"/>
        </w:rPr>
        <w:t>Khanmigo</w:t>
      </w:r>
      <w:proofErr w:type="spellEnd"/>
      <w:r w:rsidRPr="008E41BB">
        <w:rPr>
          <w:rFonts w:ascii="Times New Roman" w:eastAsia="Times New Roman" w:hAnsi="Times New Roman" w:cs="Times New Roman"/>
          <w:sz w:val="24"/>
          <w:szCs w:val="24"/>
        </w:rPr>
        <w:t xml:space="preserve"> Writing Coach aligns with principles from Cognitive Load Theory, exploring both its strengths and limitations. It then proposes a Constructionist redesign that would shift the AI writing coach toward supporting more student-driven, project-based, and community-oriented writing experiences.</w:t>
      </w:r>
    </w:p>
    <w:p w14:paraId="00000003"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Cognitive Load Theory perspective,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Writing Coach supports learners by managing the limits of working memory. As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(1998) emphasizes, instructional designs are most effective when they carefully balance intrinsic, extraneous, and germane cognitive loads to maximize learning efficiency. Rather than directly assigning students the complex task of writing,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breaks the process into manageable stages: understanding, outlining, drafting, and revising. Throughout this process,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remains alongside the student, offering support when they feel stuck or have questions. In the final revision stage, it will provide revision suggestions to strengthen essays.</w:t>
      </w:r>
    </w:p>
    <w:p w14:paraId="00000004" w14:textId="77777777" w:rsidR="00052698" w:rsidRDefault="00000000" w:rsidP="007E445C">
      <w:pPr>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Writing Coach applies the Worked Example Effect by giving students structured outlines and detailed explanations of what successful work would look like. Instead of requiring learners to search blindly for how to begin,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presents a framework that highlights essential components such as thesis statements, topic sentences, and supporting evidence. By reducing the need for inefficient problem-solving and directing attention to core features of essay structure, these instructions free up working memory for schema acquisition. In this way, students are not overwhelmed by the full complexity of composing an essay from scratch but can study and imitate patterns that illustrate how effective writing is constructed. </w:t>
      </w:r>
    </w:p>
    <w:p w14:paraId="00000005"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Split-Attention Effect occurs when learners must mentally integrate information spread across sources, which increases extraneous cognitive load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2016).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reduces this problem by remaining embedded directly within the student's writing workspace. Once the essay is assigned, learners move through 4 stages of writing with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available side by side. At each point, if students get stuck or need support, they can access feedback without leaving their writing environment. This seamless integration prevents unnecessary search and coordination demands. It allows working memory to be directed toward building writing schemas rather than managing multiple sources of input.</w:t>
      </w:r>
    </w:p>
    <w:p w14:paraId="00000006"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Another key principle is the Isolated Elements Effect, which shows that novices learn complex material more effectively when interacting elements are presented in isolation before being integrated (</w:t>
      </w: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2016). Writing an essay involves many elements—such as thesis, evidence, organization, and style—that can easily overload working memory.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addresses this by breaking the writing process into sequential stages of prompt analysis, outlining, drafting, and revising. This design reduces cognitive load by allowing students to focus on one element at a time.</w:t>
      </w:r>
    </w:p>
    <w:p w14:paraId="00000007" w14:textId="27B6390A"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reducing unnecessary cognitive load,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actively fosters germane load</w:t>
      </w:r>
      <w:r w:rsidR="005562BC">
        <w:rPr>
          <w:rFonts w:ascii="Times New Roman" w:eastAsia="Times New Roman" w:hAnsi="Times New Roman" w:cs="Times New Roman"/>
          <w:sz w:val="24"/>
          <w:szCs w:val="24"/>
        </w:rPr>
        <w:t>,</w:t>
      </w:r>
      <w:r w:rsidR="005562BC" w:rsidRPr="005562BC">
        <w:t xml:space="preserve"> </w:t>
      </w:r>
      <w:r w:rsidR="005562BC" w:rsidRPr="005562BC">
        <w:rPr>
          <w:rFonts w:ascii="Times New Roman" w:eastAsia="Times New Roman" w:hAnsi="Times New Roman" w:cs="Times New Roman"/>
          <w:sz w:val="24"/>
          <w:szCs w:val="24"/>
        </w:rPr>
        <w:t xml:space="preserve">which </w:t>
      </w:r>
      <w:proofErr w:type="spellStart"/>
      <w:r w:rsidR="005562BC" w:rsidRPr="005562BC">
        <w:rPr>
          <w:rFonts w:ascii="Times New Roman" w:eastAsia="Times New Roman" w:hAnsi="Times New Roman" w:cs="Times New Roman"/>
          <w:sz w:val="24"/>
          <w:szCs w:val="24"/>
        </w:rPr>
        <w:t>Sweller</w:t>
      </w:r>
      <w:proofErr w:type="spellEnd"/>
      <w:r w:rsidR="005562BC" w:rsidRPr="005562BC">
        <w:rPr>
          <w:rFonts w:ascii="Times New Roman" w:eastAsia="Times New Roman" w:hAnsi="Times New Roman" w:cs="Times New Roman"/>
          <w:sz w:val="24"/>
          <w:szCs w:val="24"/>
        </w:rPr>
        <w:t xml:space="preserve"> et al. (1998) define as the effort that contributes directly to schema construction</w:t>
      </w:r>
      <w:r>
        <w:rPr>
          <w:rFonts w:ascii="Times New Roman" w:eastAsia="Times New Roman" w:hAnsi="Times New Roman" w:cs="Times New Roman"/>
          <w:sz w:val="24"/>
          <w:szCs w:val="24"/>
        </w:rPr>
        <w:t xml:space="preserve">. When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prompts students to revise, it doesn't just point out surface errors. It asks students to think critically about their organization, to evaluate whether their evidence truly supports their claims, and to consider whether their argument is clear. </w:t>
      </w:r>
      <w:r w:rsidR="005562BC" w:rsidRPr="005562BC">
        <w:rPr>
          <w:rFonts w:ascii="Times New Roman" w:eastAsia="Times New Roman" w:hAnsi="Times New Roman" w:cs="Times New Roman"/>
          <w:sz w:val="24"/>
          <w:szCs w:val="24"/>
        </w:rPr>
        <w:t xml:space="preserve">This reflection and self-explanation </w:t>
      </w:r>
      <w:r w:rsidR="005562BC" w:rsidRPr="005562BC">
        <w:rPr>
          <w:rFonts w:ascii="Times New Roman" w:eastAsia="Times New Roman" w:hAnsi="Times New Roman" w:cs="Times New Roman"/>
          <w:sz w:val="24"/>
          <w:szCs w:val="24"/>
        </w:rPr>
        <w:t>promote</w:t>
      </w:r>
      <w:r w:rsidR="005562BC" w:rsidRPr="005562BC">
        <w:rPr>
          <w:rFonts w:ascii="Times New Roman" w:eastAsia="Times New Roman" w:hAnsi="Times New Roman" w:cs="Times New Roman"/>
          <w:sz w:val="24"/>
          <w:szCs w:val="24"/>
        </w:rPr>
        <w:t xml:space="preserve"> schema construction.</w:t>
      </w:r>
      <w:r w:rsidR="005562BC">
        <w:rPr>
          <w:rFonts w:ascii="Times New Roman" w:eastAsia="Times New Roman" w:hAnsi="Times New Roman" w:cs="Times New Roman"/>
          <w:sz w:val="24"/>
          <w:szCs w:val="24"/>
        </w:rPr>
        <w:t xml:space="preserve"> </w:t>
      </w:r>
      <w:proofErr w:type="spellStart"/>
      <w:r w:rsidR="005562BC" w:rsidRPr="005562BC">
        <w:rPr>
          <w:rFonts w:ascii="Times New Roman" w:eastAsia="Times New Roman" w:hAnsi="Times New Roman" w:cs="Times New Roman"/>
          <w:sz w:val="24"/>
          <w:szCs w:val="24"/>
        </w:rPr>
        <w:t>Sweller</w:t>
      </w:r>
      <w:proofErr w:type="spellEnd"/>
      <w:r w:rsidR="005562BC" w:rsidRPr="005562BC">
        <w:rPr>
          <w:rFonts w:ascii="Times New Roman" w:eastAsia="Times New Roman" w:hAnsi="Times New Roman" w:cs="Times New Roman"/>
          <w:sz w:val="24"/>
          <w:szCs w:val="24"/>
        </w:rPr>
        <w:t xml:space="preserve"> et al. (1998) emphasize that appropriate instructional design </w:t>
      </w:r>
      <w:r w:rsidR="005562BC">
        <w:rPr>
          <w:rFonts w:ascii="Times New Roman" w:eastAsia="Times New Roman" w:hAnsi="Times New Roman" w:cs="Times New Roman"/>
          <w:sz w:val="24"/>
          <w:szCs w:val="24"/>
        </w:rPr>
        <w:t>can</w:t>
      </w:r>
      <w:r w:rsidR="005562BC" w:rsidRPr="005562BC">
        <w:rPr>
          <w:rFonts w:ascii="Times New Roman" w:eastAsia="Times New Roman" w:hAnsi="Times New Roman" w:cs="Times New Roman"/>
          <w:sz w:val="24"/>
          <w:szCs w:val="24"/>
        </w:rPr>
        <w:t xml:space="preserve"> decrease extraneous load </w:t>
      </w:r>
      <w:r w:rsidR="005562BC">
        <w:rPr>
          <w:rFonts w:ascii="Times New Roman" w:eastAsia="Times New Roman" w:hAnsi="Times New Roman" w:cs="Times New Roman"/>
          <w:sz w:val="24"/>
          <w:szCs w:val="24"/>
        </w:rPr>
        <w:t>and</w:t>
      </w:r>
      <w:r w:rsidR="005562BC" w:rsidRPr="005562BC">
        <w:rPr>
          <w:rFonts w:ascii="Times New Roman" w:eastAsia="Times New Roman" w:hAnsi="Times New Roman" w:cs="Times New Roman"/>
          <w:sz w:val="24"/>
          <w:szCs w:val="24"/>
        </w:rPr>
        <w:t xml:space="preserve"> increas</w:t>
      </w:r>
      <w:r w:rsidR="005562BC">
        <w:rPr>
          <w:rFonts w:ascii="Times New Roman" w:eastAsia="Times New Roman" w:hAnsi="Times New Roman" w:cs="Times New Roman"/>
          <w:sz w:val="24"/>
          <w:szCs w:val="24"/>
        </w:rPr>
        <w:t>e</w:t>
      </w:r>
      <w:r w:rsidR="005562BC" w:rsidRPr="005562BC">
        <w:rPr>
          <w:rFonts w:ascii="Times New Roman" w:eastAsia="Times New Roman" w:hAnsi="Times New Roman" w:cs="Times New Roman"/>
          <w:sz w:val="24"/>
          <w:szCs w:val="24"/>
        </w:rPr>
        <w:t xml:space="preserve"> germane load. Through revision cycles and reflective feedback, </w:t>
      </w:r>
      <w:proofErr w:type="spellStart"/>
      <w:r w:rsidR="005562BC" w:rsidRPr="005562BC">
        <w:rPr>
          <w:rFonts w:ascii="Times New Roman" w:eastAsia="Times New Roman" w:hAnsi="Times New Roman" w:cs="Times New Roman"/>
          <w:sz w:val="24"/>
          <w:szCs w:val="24"/>
        </w:rPr>
        <w:t>Khanmigo</w:t>
      </w:r>
      <w:proofErr w:type="spellEnd"/>
      <w:r w:rsidR="005562BC" w:rsidRPr="005562BC">
        <w:rPr>
          <w:rFonts w:ascii="Times New Roman" w:eastAsia="Times New Roman" w:hAnsi="Times New Roman" w:cs="Times New Roman"/>
          <w:sz w:val="24"/>
          <w:szCs w:val="24"/>
        </w:rPr>
        <w:t xml:space="preserve"> embodies this principle by transforming cognitive effort into meaningful progress. Students aren't just fixing mistakes; they're restructuring and strengthening their </w:t>
      </w:r>
      <w:r w:rsidR="005562BC">
        <w:rPr>
          <w:rFonts w:ascii="Times New Roman" w:eastAsia="Times New Roman" w:hAnsi="Times New Roman" w:cs="Times New Roman"/>
          <w:sz w:val="24"/>
          <w:szCs w:val="24"/>
        </w:rPr>
        <w:t>cognitive</w:t>
      </w:r>
      <w:r w:rsidR="005562BC" w:rsidRPr="005562BC">
        <w:rPr>
          <w:rFonts w:ascii="Times New Roman" w:eastAsia="Times New Roman" w:hAnsi="Times New Roman" w:cs="Times New Roman"/>
          <w:sz w:val="24"/>
          <w:szCs w:val="24"/>
        </w:rPr>
        <w:t xml:space="preserve"> models of what good writing looks like.</w:t>
      </w:r>
    </w:p>
    <w:p w14:paraId="00000008"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Instead of viewing writing primarily as a set of skills to master through structured practice, what if we saw it as a form of creative expression that develops through meaningful projects, community participation, and personal exploration? While Cognitive Load Theory provides valuable insights into how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supports skill acquisition, Constructionism offers a complementary </w:t>
      </w:r>
      <w:r>
        <w:rPr>
          <w:rFonts w:ascii="Times New Roman" w:eastAsia="Times New Roman" w:hAnsi="Times New Roman" w:cs="Times New Roman"/>
          <w:sz w:val="24"/>
          <w:szCs w:val="24"/>
        </w:rPr>
        <w:lastRenderedPageBreak/>
        <w:t>perspective that centers on learner agency, creativity, and community. This is the shift that Constructionism offers.</w:t>
      </w:r>
    </w:p>
    <w:p w14:paraId="00000009" w14:textId="23BE5BE1"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Resnick (2014) articulates this vision through four core principles: projects, peers, passion, and play. Rather than acquiring knowledge that </w:t>
      </w:r>
      <w:r w:rsidR="008E41BB">
        <w:rPr>
          <w:rFonts w:ascii="Times New Roman" w:eastAsia="Times New Roman" w:hAnsi="Times New Roman" w:cs="Times New Roman"/>
          <w:sz w:val="24"/>
          <w:szCs w:val="24"/>
        </w:rPr>
        <w:t>educators</w:t>
      </w:r>
      <w:r>
        <w:rPr>
          <w:rFonts w:ascii="Times New Roman" w:eastAsia="Times New Roman" w:hAnsi="Times New Roman" w:cs="Times New Roman"/>
          <w:sz w:val="24"/>
          <w:szCs w:val="24"/>
        </w:rPr>
        <w:t xml:space="preserve"> has structured for </w:t>
      </w:r>
      <w:r w:rsidR="008E41BB">
        <w:rPr>
          <w:rFonts w:ascii="Times New Roman" w:eastAsia="Times New Roman" w:hAnsi="Times New Roman" w:cs="Times New Roman"/>
          <w:sz w:val="24"/>
          <w:szCs w:val="24"/>
        </w:rPr>
        <w:t>learners</w:t>
      </w:r>
      <w:r>
        <w:rPr>
          <w:rFonts w:ascii="Times New Roman" w:eastAsia="Times New Roman" w:hAnsi="Times New Roman" w:cs="Times New Roman"/>
          <w:sz w:val="24"/>
          <w:szCs w:val="24"/>
        </w:rPr>
        <w:t xml:space="preserve">, </w:t>
      </w:r>
      <w:r w:rsidR="008E41BB">
        <w:rPr>
          <w:rFonts w:ascii="Times New Roman" w:eastAsia="Times New Roman" w:hAnsi="Times New Roman" w:cs="Times New Roman"/>
          <w:sz w:val="24"/>
          <w:szCs w:val="24"/>
        </w:rPr>
        <w:t>they</w:t>
      </w:r>
      <w:r>
        <w:rPr>
          <w:rFonts w:ascii="Times New Roman" w:eastAsia="Times New Roman" w:hAnsi="Times New Roman" w:cs="Times New Roman"/>
          <w:sz w:val="24"/>
          <w:szCs w:val="24"/>
        </w:rPr>
        <w:t xml:space="preserve"> learn by making things that matter to </w:t>
      </w:r>
      <w:r w:rsidR="008E41BB">
        <w:rPr>
          <w:rFonts w:ascii="Times New Roman" w:eastAsia="Times New Roman" w:hAnsi="Times New Roman" w:cs="Times New Roman"/>
          <w:sz w:val="24"/>
          <w:szCs w:val="24"/>
        </w:rPr>
        <w:t>them</w:t>
      </w:r>
      <w:r>
        <w:rPr>
          <w:rFonts w:ascii="Times New Roman" w:eastAsia="Times New Roman" w:hAnsi="Times New Roman" w:cs="Times New Roman"/>
          <w:sz w:val="24"/>
          <w:szCs w:val="24"/>
        </w:rPr>
        <w:t xml:space="preserve">, by engaging with a community of fellow creators, by pursuing </w:t>
      </w:r>
      <w:r w:rsidR="008E41BB">
        <w:rPr>
          <w:rFonts w:ascii="Times New Roman" w:eastAsia="Times New Roman" w:hAnsi="Times New Roman" w:cs="Times New Roman"/>
          <w:sz w:val="24"/>
          <w:szCs w:val="24"/>
        </w:rPr>
        <w:t xml:space="preserve">their </w:t>
      </w:r>
      <w:r>
        <w:rPr>
          <w:rFonts w:ascii="Times New Roman" w:eastAsia="Times New Roman" w:hAnsi="Times New Roman" w:cs="Times New Roman"/>
          <w:sz w:val="24"/>
          <w:szCs w:val="24"/>
        </w:rPr>
        <w:t xml:space="preserve">passions, and by playing with ideas. A Constructionist redesign of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Writing Coach would embody these principles.</w:t>
      </w:r>
    </w:p>
    <w:p w14:paraId="0000000A"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Resnick (2014) emphasizes that meaningful learning comes from "projects": people learn best when they are actively engaged in meaningful projects, which require them to generate new ideas, draft, and refine iteratively. Learners need opportunities to create sustained works that reflect their own ideas and voices. In a constructionist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students wouldn't simply complete fixed essay assignments. They could decide what formats interest them most, such as keeping a journal, composing poems, or writing fiction, and work on these projects over time, engaging in cycles of drafting, revising, and reflecting. The AI writing coach would shift from being a step-by-step guide through predetermined stages to being more like a mentor—offering guidance and thought-provoking prompts when students need </w:t>
      </w:r>
      <w:proofErr w:type="gramStart"/>
      <w:r>
        <w:rPr>
          <w:rFonts w:ascii="Times New Roman" w:eastAsia="Times New Roman" w:hAnsi="Times New Roman" w:cs="Times New Roman"/>
          <w:sz w:val="24"/>
          <w:szCs w:val="24"/>
        </w:rPr>
        <w:t>support, but</w:t>
      </w:r>
      <w:proofErr w:type="gramEnd"/>
      <w:r>
        <w:rPr>
          <w:rFonts w:ascii="Times New Roman" w:eastAsia="Times New Roman" w:hAnsi="Times New Roman" w:cs="Times New Roman"/>
          <w:sz w:val="24"/>
          <w:szCs w:val="24"/>
        </w:rPr>
        <w:t xml:space="preserve"> leaving creative control with the learner. </w:t>
      </w:r>
    </w:p>
    <w:p w14:paraId="0000000B"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Resnick (2014) emphasizes that passion sustains engagement and deepens learning, as learners persist longer and learn more in the process. In a constructionist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platform, learners could pursue writing projects aligned with their personal interests and passions. For example, a student passionate about environmental issues might develop a blog advocating for climate action, while another interested in fantasy might create an ongoing fictional world. By working on </w:t>
      </w:r>
      <w:proofErr w:type="gramStart"/>
      <w:r>
        <w:rPr>
          <w:rFonts w:ascii="Times New Roman" w:eastAsia="Times New Roman" w:hAnsi="Times New Roman" w:cs="Times New Roman"/>
          <w:sz w:val="24"/>
          <w:szCs w:val="24"/>
        </w:rPr>
        <w:t>projects</w:t>
      </w:r>
      <w:proofErr w:type="gramEnd"/>
      <w:r>
        <w:rPr>
          <w:rFonts w:ascii="Times New Roman" w:eastAsia="Times New Roman" w:hAnsi="Times New Roman" w:cs="Times New Roman"/>
          <w:sz w:val="24"/>
          <w:szCs w:val="24"/>
        </w:rPr>
        <w:t xml:space="preserve"> they care about, students would engage more deeply and sustain their effort over time, developing both writing skills and personal voice.</w:t>
      </w:r>
    </w:p>
    <w:p w14:paraId="0000000C"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Resnick (2014) describes play as an attitude and approach for engaging with the world, characterized by taking risks, trying new things, and testing boundaries. In this new version of the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Writing Coach platform, play would be central to how students approach writing. They could tinker with language, experiment with genres, and explore different voices without fear of failure.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would encourage this experimentation rather than channeling all students toward standard academic forms. </w:t>
      </w:r>
    </w:p>
    <w:p w14:paraId="0000000D"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Perhaps most importantly, Resnick (2014) emphasizes that peers are central to the learning process, serving both as an audience and a source of inspiration. A constructionist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would integrate a shared online community where students post their journals, stories, poems, or essays. Within this space, learners would not only receive feedback but also spark new ideas by engaging with their peers' writing. Interactive features such as liking, commenting, and remixing would transform writing into a dynamic and collaborative practice.</w:t>
      </w:r>
    </w:p>
    <w:p w14:paraId="0000000E"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peer dimension connects to Lave's (1991) concept of communities of practice. They argue that learning happens not through isolated skill acquisition but through participation in a community. Newcomers learn by observing from the margins, gradually taking on more active roles as they develop competence and confidence. A constructionist writing community would work the same way. Beginners might start by reading others' work and leaving supportive comments, observing how more experienced writers give and receive feedback. As they gain confidence, they share their own drafts and participate in writing challenges. Eventually, they take on mentoring roles, offering detailed feedback to newer members or organizing workshops around </w:t>
      </w:r>
      <w:proofErr w:type="gramStart"/>
      <w:r>
        <w:rPr>
          <w:rFonts w:ascii="Times New Roman" w:eastAsia="Times New Roman" w:hAnsi="Times New Roman" w:cs="Times New Roman"/>
          <w:sz w:val="24"/>
          <w:szCs w:val="24"/>
        </w:rPr>
        <w:t>particular genres</w:t>
      </w:r>
      <w:proofErr w:type="gramEnd"/>
      <w:r>
        <w:rPr>
          <w:rFonts w:ascii="Times New Roman" w:eastAsia="Times New Roman" w:hAnsi="Times New Roman" w:cs="Times New Roman"/>
          <w:sz w:val="24"/>
          <w:szCs w:val="24"/>
        </w:rPr>
        <w:t xml:space="preserve"> or techniques.</w:t>
      </w:r>
    </w:p>
    <w:p w14:paraId="0000000F"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AI writing coach would support this community participation. It could help students learn to give constructive feedback, suggest peer work that might inspire a particular student, or facilitate connections between writers working on similar projects. By seeing how peers tackle challenges in different ways, students develop a richer understanding of writing possibilities than any single template could provide. Writing becomes a deeply social and participatory experience—which is, after all, how writing works in the real world outside of school.</w:t>
      </w:r>
    </w:p>
    <w:p w14:paraId="00000010"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two visions of </w:t>
      </w:r>
      <w:proofErr w:type="spellStart"/>
      <w:r>
        <w:rPr>
          <w:rFonts w:ascii="Times New Roman" w:eastAsia="Times New Roman" w:hAnsi="Times New Roman" w:cs="Times New Roman"/>
          <w:sz w:val="24"/>
          <w:szCs w:val="24"/>
        </w:rPr>
        <w:t>Khanmigo</w:t>
      </w:r>
      <w:proofErr w:type="spellEnd"/>
      <w:r>
        <w:rPr>
          <w:rFonts w:ascii="Times New Roman" w:eastAsia="Times New Roman" w:hAnsi="Times New Roman" w:cs="Times New Roman"/>
          <w:sz w:val="24"/>
          <w:szCs w:val="24"/>
        </w:rPr>
        <w:t xml:space="preserve"> Writing Coach aren't simply opposing alternatives. They reflect different but complementary understandings of what students need to develop as writers. The Cognitive Load Theory approach recognizes that novice writers benefit from structured support that manages working memory demands and builds foundational schemas. The Constructionist approach recognizes that writers also need opportunities to find their voice, take creative risks, engage with authentic audiences, and pursue projects they care about.</w:t>
      </w:r>
    </w:p>
    <w:p w14:paraId="00000011" w14:textId="77777777" w:rsidR="00052698" w:rsidRDefault="00000000" w:rsidP="007E445C">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Perhaps the most powerful AI writing coach would thoughtfully integrate both approaches. It might offer structured scaffolding when students are learning foundational skills, then gradually </w:t>
      </w:r>
      <w:r>
        <w:rPr>
          <w:rFonts w:ascii="Times New Roman" w:eastAsia="Times New Roman" w:hAnsi="Times New Roman" w:cs="Times New Roman"/>
          <w:sz w:val="24"/>
          <w:szCs w:val="24"/>
        </w:rPr>
        <w:lastRenderedPageBreak/>
        <w:t>shift toward supporting open-ended creative projects. It might provide templates for students who want them while also encouraging experimentation for those ready to play. It might combine individualized AI feedback with community participation and peer learning. The goal wouldn't be to choose between cognitive efficiency and creative exploration, but to support students in developing not just writing competence but writing identity—helping them become people who write with skill, confidence, and purpose.</w:t>
      </w:r>
    </w:p>
    <w:p w14:paraId="00000012" w14:textId="77777777" w:rsidR="00052698" w:rsidRDefault="00052698" w:rsidP="007E445C">
      <w:pPr>
        <w:spacing w:before="240" w:after="240" w:line="360" w:lineRule="auto"/>
        <w:jc w:val="both"/>
        <w:rPr>
          <w:rFonts w:ascii="Times New Roman" w:eastAsia="Times New Roman" w:hAnsi="Times New Roman" w:cs="Times New Roman"/>
          <w:sz w:val="24"/>
          <w:szCs w:val="24"/>
        </w:rPr>
      </w:pPr>
    </w:p>
    <w:p w14:paraId="00000013" w14:textId="77777777" w:rsidR="00052698" w:rsidRDefault="00052698" w:rsidP="007E445C">
      <w:pPr>
        <w:jc w:val="both"/>
      </w:pPr>
    </w:p>
    <w:p w14:paraId="00000014" w14:textId="77777777" w:rsidR="00052698" w:rsidRDefault="00052698" w:rsidP="007E445C">
      <w:pPr>
        <w:jc w:val="both"/>
      </w:pPr>
    </w:p>
    <w:p w14:paraId="00000015" w14:textId="77777777" w:rsidR="00052698" w:rsidRDefault="00052698" w:rsidP="007E445C">
      <w:pPr>
        <w:jc w:val="both"/>
      </w:pPr>
    </w:p>
    <w:p w14:paraId="00000016" w14:textId="77777777" w:rsidR="00052698" w:rsidRDefault="00052698" w:rsidP="007E445C">
      <w:pPr>
        <w:jc w:val="both"/>
      </w:pPr>
    </w:p>
    <w:p w14:paraId="00000017" w14:textId="77777777" w:rsidR="00052698" w:rsidRDefault="00052698" w:rsidP="007E445C">
      <w:pPr>
        <w:jc w:val="both"/>
      </w:pPr>
    </w:p>
    <w:p w14:paraId="00000018" w14:textId="77777777" w:rsidR="00052698" w:rsidRDefault="00052698" w:rsidP="007E445C">
      <w:pPr>
        <w:jc w:val="both"/>
      </w:pPr>
    </w:p>
    <w:p w14:paraId="00000019" w14:textId="77777777" w:rsidR="00052698" w:rsidRDefault="00052698" w:rsidP="007E445C">
      <w:pPr>
        <w:jc w:val="both"/>
      </w:pPr>
    </w:p>
    <w:p w14:paraId="0000001A" w14:textId="77777777" w:rsidR="00052698" w:rsidRDefault="00052698" w:rsidP="007E445C">
      <w:pPr>
        <w:jc w:val="both"/>
      </w:pPr>
    </w:p>
    <w:p w14:paraId="0000001B" w14:textId="77777777" w:rsidR="00052698" w:rsidRDefault="00052698" w:rsidP="007E445C">
      <w:pPr>
        <w:jc w:val="both"/>
      </w:pPr>
    </w:p>
    <w:p w14:paraId="0000001C" w14:textId="77777777" w:rsidR="00052698" w:rsidRDefault="00052698" w:rsidP="007E445C">
      <w:pPr>
        <w:jc w:val="both"/>
      </w:pPr>
    </w:p>
    <w:p w14:paraId="0000001D" w14:textId="77777777" w:rsidR="00052698" w:rsidRDefault="00052698" w:rsidP="007E445C">
      <w:pPr>
        <w:jc w:val="both"/>
      </w:pPr>
    </w:p>
    <w:p w14:paraId="0000001E" w14:textId="77777777" w:rsidR="00052698" w:rsidRDefault="00052698" w:rsidP="007E445C">
      <w:pPr>
        <w:jc w:val="both"/>
      </w:pPr>
    </w:p>
    <w:p w14:paraId="0000001F" w14:textId="77777777" w:rsidR="00052698" w:rsidRDefault="00052698" w:rsidP="007E445C">
      <w:pPr>
        <w:jc w:val="both"/>
      </w:pPr>
    </w:p>
    <w:p w14:paraId="00000020" w14:textId="77777777" w:rsidR="00052698" w:rsidRDefault="00052698"/>
    <w:p w14:paraId="00000021" w14:textId="77777777" w:rsidR="00052698" w:rsidRDefault="00052698"/>
    <w:p w14:paraId="00000022" w14:textId="77777777" w:rsidR="00052698" w:rsidRDefault="00052698"/>
    <w:p w14:paraId="00000023" w14:textId="77777777" w:rsidR="00052698" w:rsidRDefault="00052698"/>
    <w:p w14:paraId="00000024" w14:textId="77777777" w:rsidR="00052698" w:rsidRDefault="00052698"/>
    <w:p w14:paraId="00000025" w14:textId="77777777" w:rsidR="00052698" w:rsidRDefault="00052698"/>
    <w:p w14:paraId="00000026" w14:textId="77777777" w:rsidR="00052698" w:rsidRDefault="00052698"/>
    <w:p w14:paraId="00000027" w14:textId="77777777" w:rsidR="00052698" w:rsidRDefault="00052698"/>
    <w:p w14:paraId="00000028" w14:textId="77777777" w:rsidR="00052698" w:rsidRDefault="00052698"/>
    <w:p w14:paraId="00000029" w14:textId="77777777" w:rsidR="00052698" w:rsidRDefault="00052698"/>
    <w:p w14:paraId="0000002A" w14:textId="77777777" w:rsidR="00052698" w:rsidRDefault="00052698"/>
    <w:p w14:paraId="0000002B" w14:textId="77777777" w:rsidR="00052698" w:rsidRDefault="00052698"/>
    <w:p w14:paraId="0000002C" w14:textId="77777777" w:rsidR="00052698" w:rsidRDefault="00052698"/>
    <w:p w14:paraId="0000002D" w14:textId="77777777" w:rsidR="00052698" w:rsidRDefault="00052698"/>
    <w:p w14:paraId="0000002E" w14:textId="77777777" w:rsidR="00052698" w:rsidRDefault="00052698"/>
    <w:p w14:paraId="0000002F" w14:textId="77777777" w:rsidR="00052698" w:rsidRDefault="00052698"/>
    <w:p w14:paraId="00000030" w14:textId="77777777" w:rsidR="00052698" w:rsidRDefault="00052698"/>
    <w:p w14:paraId="00000031" w14:textId="77777777" w:rsidR="00052698" w:rsidRDefault="00052698"/>
    <w:p w14:paraId="00000032" w14:textId="77777777" w:rsidR="00052698" w:rsidRDefault="00052698"/>
    <w:p w14:paraId="00000033" w14:textId="77777777" w:rsidR="00052698" w:rsidRDefault="00052698"/>
    <w:p w14:paraId="00000034" w14:textId="77777777" w:rsidR="00052698" w:rsidRDefault="00000000">
      <w:pPr>
        <w:spacing w:after="80"/>
        <w:ind w:left="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00000035" w14:textId="77777777" w:rsidR="00052698" w:rsidRDefault="00000000" w:rsidP="007E445C">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Lave, </w:t>
      </w:r>
      <w:proofErr w:type="gramStart"/>
      <w:r>
        <w:rPr>
          <w:rFonts w:ascii="Times New Roman" w:eastAsia="Times New Roman" w:hAnsi="Times New Roman" w:cs="Times New Roman"/>
          <w:sz w:val="24"/>
          <w:szCs w:val="24"/>
        </w:rPr>
        <w:t>J.(</w:t>
      </w:r>
      <w:proofErr w:type="gramEnd"/>
      <w:r>
        <w:rPr>
          <w:rFonts w:ascii="Times New Roman" w:eastAsia="Times New Roman" w:hAnsi="Times New Roman" w:cs="Times New Roman"/>
          <w:sz w:val="24"/>
          <w:szCs w:val="24"/>
        </w:rPr>
        <w:t xml:space="preserve">1991). </w:t>
      </w:r>
      <w:r>
        <w:rPr>
          <w:rFonts w:ascii="Times New Roman" w:eastAsia="Times New Roman" w:hAnsi="Times New Roman" w:cs="Times New Roman"/>
          <w:i/>
          <w:sz w:val="24"/>
          <w:szCs w:val="24"/>
        </w:rPr>
        <w:t>Situated learning: Legitimate peripheral participation</w:t>
      </w:r>
      <w:r>
        <w:rPr>
          <w:rFonts w:ascii="Times New Roman" w:eastAsia="Times New Roman" w:hAnsi="Times New Roman" w:cs="Times New Roman"/>
          <w:sz w:val="24"/>
          <w:szCs w:val="24"/>
        </w:rPr>
        <w:t>. Cambridge University Press.</w:t>
      </w:r>
    </w:p>
    <w:p w14:paraId="00000036" w14:textId="77777777" w:rsidR="00052698" w:rsidRDefault="00000000" w:rsidP="007E445C">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Khan Academy. (2025). </w:t>
      </w:r>
      <w:proofErr w:type="spellStart"/>
      <w:r>
        <w:rPr>
          <w:rFonts w:ascii="Times New Roman" w:eastAsia="Times New Roman" w:hAnsi="Times New Roman" w:cs="Times New Roman"/>
          <w:i/>
          <w:sz w:val="24"/>
          <w:szCs w:val="24"/>
        </w:rPr>
        <w:t>Khanmigo</w:t>
      </w:r>
      <w:proofErr w:type="spellEnd"/>
      <w:r>
        <w:rPr>
          <w:rFonts w:ascii="Times New Roman" w:eastAsia="Times New Roman" w:hAnsi="Times New Roman" w:cs="Times New Roman"/>
          <w:i/>
          <w:sz w:val="24"/>
          <w:szCs w:val="24"/>
        </w:rPr>
        <w:t xml:space="preserve"> for districts</w:t>
      </w:r>
      <w:r>
        <w:rPr>
          <w:rFonts w:ascii="Times New Roman" w:eastAsia="Times New Roman" w:hAnsi="Times New Roman" w:cs="Times New Roman"/>
          <w:sz w:val="24"/>
          <w:szCs w:val="24"/>
        </w:rPr>
        <w:t xml:space="preserve"> [Video]. YouTube. </w:t>
      </w:r>
      <w:hyperlink r:id="rId4">
        <w:r w:rsidR="00052698">
          <w:rPr>
            <w:rFonts w:ascii="Times New Roman" w:eastAsia="Times New Roman" w:hAnsi="Times New Roman" w:cs="Times New Roman"/>
            <w:color w:val="1155CC"/>
            <w:sz w:val="24"/>
            <w:szCs w:val="24"/>
            <w:u w:val="single"/>
          </w:rPr>
          <w:t>https://youtu.be/Q7i1vkbOnMU</w:t>
        </w:r>
      </w:hyperlink>
    </w:p>
    <w:p w14:paraId="00000037" w14:textId="77777777" w:rsidR="00052698" w:rsidRDefault="00000000" w:rsidP="007E445C">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Resnick, M. (2014). Give P's a chance: Projects, peers, passion, play. In B. Peppler &amp; S. Kafai (Eds.), </w:t>
      </w:r>
      <w:r>
        <w:rPr>
          <w:rFonts w:ascii="Times New Roman" w:eastAsia="Times New Roman" w:hAnsi="Times New Roman" w:cs="Times New Roman"/>
          <w:i/>
          <w:sz w:val="24"/>
          <w:szCs w:val="24"/>
        </w:rPr>
        <w:t>Constructionism in practice: Designing, thinking, and learning in a digital world</w:t>
      </w:r>
      <w:r>
        <w:rPr>
          <w:rFonts w:ascii="Times New Roman" w:eastAsia="Times New Roman" w:hAnsi="Times New Roman" w:cs="Times New Roman"/>
          <w:sz w:val="24"/>
          <w:szCs w:val="24"/>
        </w:rPr>
        <w:t xml:space="preserve"> (pp. 13-37). Routledge.</w:t>
      </w:r>
    </w:p>
    <w:p w14:paraId="00000038" w14:textId="77777777" w:rsidR="00052698" w:rsidRDefault="00000000" w:rsidP="007E445C">
      <w:pPr>
        <w:spacing w:before="240" w:after="240"/>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J. (2016). Story of a research program. </w:t>
      </w:r>
      <w:r>
        <w:rPr>
          <w:rFonts w:ascii="Times New Roman" w:eastAsia="Times New Roman" w:hAnsi="Times New Roman" w:cs="Times New Roman"/>
          <w:i/>
          <w:sz w:val="24"/>
          <w:szCs w:val="24"/>
        </w:rPr>
        <w:t>Education Review, 23</w:t>
      </w:r>
      <w:r>
        <w:rPr>
          <w:rFonts w:ascii="Times New Roman" w:eastAsia="Times New Roman" w:hAnsi="Times New Roman" w:cs="Times New Roman"/>
          <w:sz w:val="24"/>
          <w:szCs w:val="24"/>
        </w:rPr>
        <w:t xml:space="preserve">. </w:t>
      </w:r>
    </w:p>
    <w:p w14:paraId="00000039" w14:textId="77777777" w:rsidR="00052698" w:rsidRDefault="00000000" w:rsidP="007E445C">
      <w:pPr>
        <w:spacing w:before="240" w:after="240"/>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Sweller</w:t>
      </w:r>
      <w:proofErr w:type="spellEnd"/>
      <w:r>
        <w:rPr>
          <w:rFonts w:ascii="Times New Roman" w:eastAsia="Times New Roman" w:hAnsi="Times New Roman" w:cs="Times New Roman"/>
          <w:sz w:val="24"/>
          <w:szCs w:val="24"/>
        </w:rPr>
        <w:t xml:space="preserve">, J., van </w:t>
      </w:r>
      <w:proofErr w:type="spellStart"/>
      <w:r>
        <w:rPr>
          <w:rFonts w:ascii="Times New Roman" w:eastAsia="Times New Roman" w:hAnsi="Times New Roman" w:cs="Times New Roman"/>
          <w:sz w:val="24"/>
          <w:szCs w:val="24"/>
        </w:rPr>
        <w:t>Merrienboer</w:t>
      </w:r>
      <w:proofErr w:type="spellEnd"/>
      <w:r>
        <w:rPr>
          <w:rFonts w:ascii="Times New Roman" w:eastAsia="Times New Roman" w:hAnsi="Times New Roman" w:cs="Times New Roman"/>
          <w:sz w:val="24"/>
          <w:szCs w:val="24"/>
        </w:rPr>
        <w:t xml:space="preserve">, J. J. G., &amp; </w:t>
      </w:r>
      <w:proofErr w:type="spellStart"/>
      <w:r>
        <w:rPr>
          <w:rFonts w:ascii="Times New Roman" w:eastAsia="Times New Roman" w:hAnsi="Times New Roman" w:cs="Times New Roman"/>
          <w:sz w:val="24"/>
          <w:szCs w:val="24"/>
        </w:rPr>
        <w:t>Paas</w:t>
      </w:r>
      <w:proofErr w:type="spellEnd"/>
      <w:r>
        <w:rPr>
          <w:rFonts w:ascii="Times New Roman" w:eastAsia="Times New Roman" w:hAnsi="Times New Roman" w:cs="Times New Roman"/>
          <w:sz w:val="24"/>
          <w:szCs w:val="24"/>
        </w:rPr>
        <w:t xml:space="preserve">, F. (1998). Cognitive architecture and instructional design. </w:t>
      </w:r>
      <w:r>
        <w:rPr>
          <w:rFonts w:ascii="Times New Roman" w:eastAsia="Times New Roman" w:hAnsi="Times New Roman" w:cs="Times New Roman"/>
          <w:i/>
          <w:sz w:val="24"/>
          <w:szCs w:val="24"/>
        </w:rPr>
        <w:t>Educational Psychology Review, 10</w:t>
      </w:r>
      <w:r>
        <w:rPr>
          <w:rFonts w:ascii="Times New Roman" w:eastAsia="Times New Roman" w:hAnsi="Times New Roman" w:cs="Times New Roman"/>
          <w:sz w:val="24"/>
          <w:szCs w:val="24"/>
        </w:rPr>
        <w:t xml:space="preserve">(3), 251-296. </w:t>
      </w:r>
    </w:p>
    <w:p w14:paraId="0000003A" w14:textId="77777777" w:rsidR="00052698" w:rsidRDefault="00000000" w:rsidP="007E445C">
      <w:pPr>
        <w:spacing w:before="240" w:after="240"/>
        <w:ind w:left="720" w:hanging="7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Khan Academy Writing Coach: </w:t>
      </w:r>
      <w:hyperlink r:id="rId5">
        <w:r w:rsidR="00052698">
          <w:rPr>
            <w:rFonts w:ascii="Times New Roman" w:eastAsia="Times New Roman" w:hAnsi="Times New Roman" w:cs="Times New Roman"/>
            <w:color w:val="1155CC"/>
            <w:sz w:val="24"/>
            <w:szCs w:val="24"/>
            <w:u w:val="single"/>
          </w:rPr>
          <w:t>https://www.khanmigo.ai/writingcoach</w:t>
        </w:r>
      </w:hyperlink>
    </w:p>
    <w:p w14:paraId="0000003B" w14:textId="77777777" w:rsidR="00052698" w:rsidRDefault="00052698">
      <w:pPr>
        <w:spacing w:before="240" w:after="240"/>
      </w:pPr>
    </w:p>
    <w:sectPr w:rsidR="0005269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698"/>
    <w:rsid w:val="00052698"/>
    <w:rsid w:val="002848E1"/>
    <w:rsid w:val="005562BC"/>
    <w:rsid w:val="007E445C"/>
    <w:rsid w:val="008E4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E6D4AA0"/>
  <w15:docId w15:val="{658E8753-81F5-B944-A0FB-8730070F9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khanmigo.ai/writingcoach" TargetMode="External"/><Relationship Id="rId4" Type="http://schemas.openxmlformats.org/officeDocument/2006/relationships/hyperlink" Target="https://youtu.be/Q7i1vkbOnM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Pages>
  <Words>5458</Words>
  <Characters>5951</Characters>
  <Application>Microsoft Office Word</Application>
  <DocSecurity>0</DocSecurity>
  <Lines>165</Lines>
  <Paragraphs>68</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Duan, Yuzhi</cp:lastModifiedBy>
  <cp:revision>4</cp:revision>
  <dcterms:created xsi:type="dcterms:W3CDTF">2025-10-06T16:07:00Z</dcterms:created>
  <dcterms:modified xsi:type="dcterms:W3CDTF">2025-10-06T16:24:00Z</dcterms:modified>
</cp:coreProperties>
</file>