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Pr>
          <w:p>
            <w:pPr>
              <w:spacing w:before="2400"/>
            </w:pPr>
          </w:p>
          <w:p>
            <w:pPr>
              <w:pBdr>
                <w:bottom w:val="single" w:color="0E7C7B" w:sz="6" w:space="8"/>
              </w:pBdr>
              <w:spacing w:after="500"/>
              <w:ind w:left="1200" w:right="800"/>
            </w:pPr>
            <w:r>
              <w:rPr>
                <w:rFonts w:ascii="Calibri"/>
                <w:color w:val="0E7C7B"/>
                <w:spacing w:val="40"/>
                <w:sz w:val="18"/>
                <w:szCs w:val="18"/>
              </w:rPr>
              <w:t xml:space="preserve">F O R M A L   T U R N O V E R   D O C U M E N T</w:t>
            </w:r>
          </w:p>
          <w:p>
            <w:pPr>
              <w:spacing w:after="100" w:line="920" w:lineRule="atLeast"/>
              <w:ind w:left="1200"/>
            </w:pPr>
            <w:r>
              <w:rPr>
                <w:rFonts w:ascii="Arial" w:eastAsia="SimHei"/>
                <w:b/>
                <w:bCs/>
                <w:color w:val="162032"/>
                <w:sz w:val="80"/>
                <w:szCs w:val="80"/>
              </w:rPr>
              <w:t xml:space="preserve">El Salvador Division</w:t>
            </w:r>
          </w:p>
          <w:p>
            <w:pPr>
              <w:spacing w:after="100" w:line="920" w:lineRule="atLeast"/>
              <w:ind w:left="1200"/>
            </w:pPr>
            <w:r>
              <w:rPr>
                <w:rFonts w:ascii="Arial" w:eastAsia="SimHei"/>
                <w:b/>
                <w:bCs/>
                <w:color w:val="162032"/>
                <w:sz w:val="80"/>
                <w:szCs w:val="80"/>
              </w:rPr>
              <w:t xml:space="preserve">Research Culture</w:t>
            </w:r>
          </w:p>
          <w:p>
            <w:pPr>
              <w:spacing w:after="300" w:line="920" w:lineRule="atLeast"/>
              <w:ind w:left="1200"/>
            </w:pPr>
            <w:r>
              <w:rPr>
                <w:rFonts w:ascii="Arial" w:eastAsia="SimHei"/>
                <w:b/>
                <w:bCs/>
                <w:color w:val="0E7C7B"/>
                <w:sz w:val="80"/>
                <w:szCs w:val="80"/>
              </w:rPr>
              <w:t xml:space="preserve">Sustainability Index</w:t>
            </w:r>
          </w:p>
          <w:p>
            <w:pPr>
              <w:spacing w:after="800"/>
              <w:ind w:left="1200"/>
            </w:pPr>
            <w:r>
              <w:rPr>
                <w:rFonts w:ascii="Arial"/>
                <w:color w:val="5B6B7D"/>
                <w:sz w:val="28"/>
                <w:szCs w:val="28"/>
              </w:rPr>
              <w:t xml:space="preserve">Interactive Dashboard &amp; Digital Twin Sandbox</w:t>
            </w:r>
          </w:p>
          <w:p>
            <w:pPr>
              <w:pBdr>
                <w:left w:val="single" w:color="0E7C7B" w:sz="8" w:space="12"/>
              </w:pBdr>
              <w:spacing w:after="80"/>
              <w:ind w:left="1400"/>
            </w:pPr>
            <w:r>
              <w:rPr>
                <w:rFonts w:ascii="Arial"/>
                <w:color w:val="5B6B7D"/>
                <w:sz w:val="24"/>
                <w:szCs w:val="24"/>
              </w:rPr>
              <w:t xml:space="preserve">Turnover Date: July 2026</w:t>
            </w:r>
          </w:p>
          <w:p>
            <w:pPr>
              <w:pBdr>
                <w:left w:val="single" w:color="0E7C7B" w:sz="8" w:space="12"/>
              </w:pBdr>
              <w:spacing w:after="80"/>
              <w:ind w:left="1400"/>
            </w:pPr>
            <w:r>
              <w:rPr>
                <w:rFonts w:ascii="Arial"/>
                <w:color w:val="5B6B7D"/>
                <w:sz w:val="24"/>
                <w:szCs w:val="24"/>
              </w:rPr>
              <w:t xml:space="preserve">Application Version: 2.0 (Prototype — For Approval)</w:t>
            </w:r>
          </w:p>
          <w:p>
            <w:pPr>
              <w:pBdr>
                <w:left w:val="single" w:color="0E7C7B" w:sz="8" w:space="12"/>
              </w:pBdr>
              <w:spacing w:after="80"/>
              <w:ind w:left="1400"/>
            </w:pPr>
            <w:r>
              <w:rPr>
                <w:rFonts w:ascii="Arial"/>
                <w:color w:val="5B6B7D"/>
                <w:sz w:val="24"/>
                <w:szCs w:val="24"/>
              </w:rPr>
              <w:t xml:space="preserve">Prepared for: El Salvador Division Leadership Team</w:t>
            </w:r>
          </w:p>
          <w:p>
            <w:pPr>
              <w:pBdr>
                <w:left w:val="single" w:color="0E7C7B" w:sz="8" w:space="12"/>
              </w:pBdr>
              <w:spacing w:after="80"/>
              <w:ind w:left="1400"/>
            </w:pPr>
            <w:r>
              <w:rPr>
                <w:rFonts w:ascii="Arial"/>
                <w:color w:val="5B6B7D"/>
                <w:sz w:val="24"/>
                <w:szCs w:val="24"/>
              </w:rPr>
              <w:t xml:space="preserve">Document Classification: Official</w:t>
            </w:r>
          </w:p>
          <w:p>
            <w:pPr>
              <w:spacing w:before="2400"/>
            </w:pPr>
          </w:p>
          <w:p>
            <w:pPr>
              <w:pBdr>
                <w:top w:val="single" w:color="0E7C7B" w:sz="2" w:space="8"/>
              </w:pBdr>
              <w:spacing w:before="200"/>
              <w:ind w:left="1200" w:right="800"/>
            </w:pPr>
            <w:r>
              <w:rPr>
                <w:rFonts w:ascii="Arial"/>
                <w:color w:val="5B6B7D"/>
                <w:sz w:val="16"/>
                <w:szCs w:val="16"/>
              </w:rPr>
              <w:t xml:space="preserve">Copyright 2026 El Salvador Division</w:t>
            </w:r>
            <w:r>
              <w:t xml:space="preserve">                                        </w:t>
            </w:r>
            <w:r>
              <w:rPr>
                <w:rFonts w:ascii="Arial"/>
                <w:color w:val="5B6B7D"/>
                <w:sz w:val="16"/>
                <w:szCs w:val="16"/>
              </w:rPr>
              <w:t xml:space="preserve">RCSI-TURNOVER-v1.0</w:t>
            </w:r>
          </w:p>
        </w:tc>
      </w:tr>
    </w:tbl>
    <w:p>
      <w:pPr>
        <w:sectPr>
          <w:pgSz w:w="11906" w:h="16838" w:orient="portrait"/>
          <w:pgMar w:top="0" w:right="0" w:bottom="0" w:left="0" w:header="708" w:footer="708" w:gutter="0"/>
          <w:pgNumType/>
          <w:docGrid w:linePitch="360"/>
        </w:sectPr>
      </w:pPr>
    </w:p>
    <w:p>
      <w:pPr>
        <w:pStyle w:val="Heading1"/>
        <w:spacing w:after="200" w:before="360" w:line="312"/>
        <w:jc w:val="left"/>
      </w:pPr>
      <w:r>
        <w:rPr>
          <w:rFonts w:ascii="Times New Roman" w:eastAsia="SimHei"/>
          <w:b/>
          <w:bCs/>
          <w:color w:val="162032"/>
          <w:sz w:val="32"/>
          <w:szCs w:val="32"/>
        </w:rPr>
        <w:t xml:space="preserve">I. Introduction and Purpose of Turnover</w:t>
      </w:r>
    </w:p>
    <w:p>
      <w:pPr>
        <w:spacing w:after="120" w:line="312"/>
        <w:ind w:firstLine="480"/>
        <w:jc w:val="both"/>
      </w:pPr>
      <w:r>
        <w:rPr>
          <w:rFonts w:ascii="Times New Roman" w:eastAsia="SimSun"/>
          <w:color w:val="000000"/>
          <w:sz w:val="24"/>
          <w:szCs w:val="24"/>
        </w:rPr>
        <w:t xml:space="preserve">This Formal Turnover Document officially transfers the El Salvador Division Research Culture Sustainability Index (RCSI) Interactive Dashboard and Digital Twin Sandbox (hereinafter referred to as "the Application") from the development team to the El Salvador Division. The purpose of this turnover is to formally hand over all rights, responsibilities, source code, documentation, and operational knowledge associated with the Application to the Division’s leadership team and designated administrators.</w:t>
      </w:r>
    </w:p>
    <w:p>
      <w:pPr>
        <w:spacing w:after="120" w:line="312"/>
        <w:ind w:firstLine="480"/>
        <w:jc w:val="both"/>
      </w:pPr>
      <w:r>
        <w:rPr>
          <w:rFonts w:ascii="Times New Roman" w:eastAsia="SimSun"/>
          <w:color w:val="000000"/>
          <w:sz w:val="24"/>
          <w:szCs w:val="24"/>
        </w:rPr>
        <w:t xml:space="preserve">The Application was developed to address the Division’s need for a comprehensive, data-driven monitoring system that tracks the research culture sustainability of all schools within the El Salvador Division. It is built on the seven-dimension RCSI framework (Readiness, Awareness, Capacity, Structured Support, Institutional Anchoring, Community of Practice, and Impact Realization) and the M0–M6 milestone progression model, which together provide a holistic view of each school’s research culture maturity.</w:t>
      </w:r>
    </w:p>
    <w:p>
      <w:pPr>
        <w:spacing w:after="120" w:line="312"/>
        <w:ind w:firstLine="480"/>
        <w:jc w:val="both"/>
      </w:pPr>
      <w:r>
        <w:rPr>
          <w:rFonts w:ascii="Times New Roman" w:eastAsia="SimSun"/>
          <w:color w:val="000000"/>
          <w:sz w:val="24"/>
          <w:szCs w:val="24"/>
        </w:rPr>
        <w:t xml:space="preserve">This document serves as the official record of transfer and should be retained by the Division as part of its information technology and administrative records. It includes a complete inventory of the turned-over assets, the terms and conditions of the transfer, the roles and responsibilities of the receiving party, and the technical documentation necessary for the Division to operate, maintain, and further develop the Application.</w:t>
      </w:r>
    </w:p>
    <w:p>
      <w:pPr>
        <w:pStyle w:val="Heading1"/>
        <w:spacing w:after="200" w:before="360" w:line="312"/>
        <w:jc w:val="left"/>
      </w:pPr>
      <w:r>
        <w:rPr>
          <w:rFonts w:ascii="Times New Roman" w:eastAsia="SimHei"/>
          <w:b/>
          <w:bCs/>
          <w:color w:val="162032"/>
          <w:sz w:val="32"/>
          <w:szCs w:val="32"/>
        </w:rPr>
        <w:t xml:space="preserve">II. Description of the Turned-Over Application</w:t>
      </w:r>
    </w:p>
    <w:p>
      <w:pPr>
        <w:pStyle w:val="Heading2"/>
        <w:spacing w:after="160" w:before="280" w:line="312"/>
      </w:pPr>
      <w:r>
        <w:rPr>
          <w:rFonts w:ascii="Times New Roman" w:eastAsia="SimHei"/>
          <w:b/>
          <w:bCs/>
          <w:color w:val="162032"/>
          <w:sz w:val="30"/>
          <w:szCs w:val="30"/>
        </w:rPr>
        <w:t xml:space="preserve">A. Application Overview</w:t>
      </w:r>
    </w:p>
    <w:p>
      <w:pPr>
        <w:spacing w:after="120" w:line="312"/>
        <w:ind w:firstLine="480"/>
        <w:jc w:val="both"/>
      </w:pPr>
      <w:r>
        <w:rPr>
          <w:rFonts w:ascii="Times New Roman" w:eastAsia="SimSun"/>
          <w:color w:val="000000"/>
          <w:sz w:val="24"/>
          <w:szCs w:val="24"/>
        </w:rPr>
        <w:t xml:space="preserve">The Application is a web-based interactive dashboard built on the Next.js 16 framework with TypeScript, Prisma ORM, and a SQLite database. It features a modern dark-mode user interface with a teal accent palette and is designed to be responsive across desktop, tablet, and mobile devices. The Application is currently designated as Version 2.0 (Prototype — For Approval), pending formal endorsement by the Division Superintendents.</w:t>
      </w:r>
    </w:p>
    <w:p>
      <w:pPr>
        <w:pStyle w:val="Heading2"/>
        <w:spacing w:after="160" w:before="280" w:line="312"/>
      </w:pPr>
      <w:r>
        <w:rPr>
          <w:rFonts w:ascii="Times New Roman" w:eastAsia="SimHei"/>
          <w:b/>
          <w:bCs/>
          <w:color w:val="162032"/>
          <w:sz w:val="30"/>
          <w:szCs w:val="30"/>
        </w:rPr>
        <w:t xml:space="preserve">B. Eight Functional Modules</w:t>
      </w:r>
    </w:p>
    <w:p>
      <w:pPr>
        <w:spacing w:after="120" w:line="312"/>
        <w:ind w:firstLine="480"/>
        <w:jc w:val="both"/>
      </w:pPr>
      <w:r>
        <w:rPr>
          <w:rFonts w:ascii="Times New Roman" w:eastAsia="SimSun"/>
          <w:color w:val="000000"/>
          <w:sz w:val="24"/>
          <w:szCs w:val="24"/>
        </w:rPr>
        <w:t xml:space="preserve">The Application consists of eight (8) integrated modules, each accessible via a tab in the main navigation:</w:t>
      </w:r>
    </w:p>
    <w:p>
      <w:pPr>
        <w:spacing w:after="80" w:line="312"/>
        <w:ind w:left="720" w:hanging="360"/>
      </w:pPr>
      <w:r>
        <w:rPr>
          <w:rFonts w:ascii="Times New Roman"/>
          <w:b/>
          <w:bCs/>
          <w:color w:val="0E7C7B"/>
          <w:sz w:val="24"/>
          <w:szCs w:val="24"/>
        </w:rPr>
        <w:t xml:space="preserve">1.  </w:t>
      </w:r>
      <w:r>
        <w:rPr>
          <w:rFonts w:ascii="Times New Roman" w:eastAsia="SimSun"/>
          <w:color w:val="000000"/>
          <w:sz w:val="24"/>
          <w:szCs w:val="24"/>
        </w:rPr>
        <w:t xml:space="preserve">Overview Tab — Displays division-wide Key Performance Indicators (KPIs), the RCSI trend chart, milestone distribution, and an auto-generated Executive Brief with historical quarter-over-quarter comparison. Includes a quarter selector and a Download PDF button for report generation.</w:t>
      </w:r>
    </w:p>
    <w:p>
      <w:pPr>
        <w:spacing w:after="80" w:line="312"/>
        <w:ind w:left="720" w:hanging="360"/>
      </w:pPr>
      <w:r>
        <w:rPr>
          <w:rFonts w:ascii="Times New Roman"/>
          <w:b/>
          <w:bCs/>
          <w:color w:val="0E7C7B"/>
          <w:sz w:val="24"/>
          <w:szCs w:val="24"/>
        </w:rPr>
        <w:t xml:space="preserve">2.  </w:t>
      </w:r>
      <w:r>
        <w:rPr>
          <w:rFonts w:ascii="Times New Roman" w:eastAsia="SimSun"/>
          <w:color w:val="000000"/>
          <w:sz w:val="24"/>
          <w:szCs w:val="24"/>
        </w:rPr>
        <w:t xml:space="preserve">Schools Tab — Presents a sortable and searchable table of all schools with sparklines, milestone badges, and clickable rows that open a detailed school profile dialog (radar chart, quarterly trend, research records).</w:t>
      </w:r>
    </w:p>
    <w:p>
      <w:pPr>
        <w:spacing w:after="80" w:line="312"/>
        <w:ind w:left="720" w:hanging="360"/>
      </w:pPr>
      <w:r>
        <w:rPr>
          <w:rFonts w:ascii="Times New Roman"/>
          <w:b/>
          <w:bCs/>
          <w:color w:val="0E7C7B"/>
          <w:sz w:val="24"/>
          <w:szCs w:val="24"/>
        </w:rPr>
        <w:t xml:space="preserve">3.  </w:t>
      </w:r>
      <w:r>
        <w:rPr>
          <w:rFonts w:ascii="Times New Roman" w:eastAsia="SimSun"/>
          <w:color w:val="000000"/>
          <w:sz w:val="24"/>
          <w:szCs w:val="24"/>
        </w:rPr>
        <w:t xml:space="preserve">Research Tab — Features a Theme × Status matrix heatmap, a Teacher Rank × Education heatmap, summary KPIs, and a Top 10 Teacher-Researchers recognition section with gold, silver, and bronze medals.</w:t>
      </w:r>
    </w:p>
    <w:p>
      <w:pPr>
        <w:spacing w:after="80" w:line="312"/>
        <w:ind w:left="720" w:hanging="360"/>
      </w:pPr>
      <w:r>
        <w:rPr>
          <w:rFonts w:ascii="Times New Roman"/>
          <w:b/>
          <w:bCs/>
          <w:color w:val="0E7C7B"/>
          <w:sz w:val="24"/>
          <w:szCs w:val="24"/>
        </w:rPr>
        <w:t xml:space="preserve">4.  </w:t>
      </w:r>
      <w:r>
        <w:rPr>
          <w:rFonts w:ascii="Times New Roman" w:eastAsia="SimSun"/>
          <w:color w:val="000000"/>
          <w:sz w:val="24"/>
          <w:szCs w:val="24"/>
        </w:rPr>
        <w:t xml:space="preserve">Twin Sandbox Tab — A real-time what-if simulator with four sub-tabs: Policy Levers (Training Frequency, Mentorship Ratio, Support Budget, Leadership Commitment, Collaboration Frequency), Intervention (direct dimension sliders), Weights, and Thresholds. Includes a reactive Executive Brief that changes tone based on simulation outcomes.</w:t>
      </w:r>
    </w:p>
    <w:p>
      <w:pPr>
        <w:spacing w:after="80" w:line="312"/>
        <w:ind w:left="720" w:hanging="360"/>
      </w:pPr>
      <w:r>
        <w:rPr>
          <w:rFonts w:ascii="Times New Roman"/>
          <w:b/>
          <w:bCs/>
          <w:color w:val="0E7C7B"/>
          <w:sz w:val="24"/>
          <w:szCs w:val="24"/>
        </w:rPr>
        <w:t xml:space="preserve">5.  </w:t>
      </w:r>
      <w:r>
        <w:rPr>
          <w:rFonts w:ascii="Times New Roman" w:eastAsia="SimSun"/>
          <w:color w:val="000000"/>
          <w:sz w:val="24"/>
          <w:szCs w:val="24"/>
        </w:rPr>
        <w:t xml:space="preserve">Trends Tab — Multi-quarter trend analysis with a line chart showing RCSI and all seven sub-indices across quarters, a radar overlay of the four most recent quarters, and a dimension-by-dimension change table with sparklines.</w:t>
      </w:r>
    </w:p>
    <w:p>
      <w:pPr>
        <w:spacing w:after="80" w:line="312"/>
        <w:ind w:left="720" w:hanging="360"/>
      </w:pPr>
      <w:r>
        <w:rPr>
          <w:rFonts w:ascii="Times New Roman"/>
          <w:b/>
          <w:bCs/>
          <w:color w:val="0E7C7B"/>
          <w:sz w:val="24"/>
          <w:szCs w:val="24"/>
        </w:rPr>
        <w:t xml:space="preserve">6.  </w:t>
      </w:r>
      <w:r>
        <w:rPr>
          <w:rFonts w:ascii="Times New Roman" w:eastAsia="SimSun"/>
          <w:color w:val="000000"/>
          <w:sz w:val="24"/>
          <w:szCs w:val="24"/>
        </w:rPr>
        <w:t xml:space="preserve">Survey Tab — Two data collection instruments: a 35-item Quarterly Survey questionnaire (5 questions per RCSI dimension) and a 14-field Research Metadata form. Both feature a school dropdown pre-populated with the 24 real El Salvador Division schools, automatic theme detection from research titles, a Load Example button, and a Print Questionnaire function for offline data collection.</w:t>
      </w:r>
    </w:p>
    <w:p>
      <w:pPr>
        <w:spacing w:after="80" w:line="312"/>
        <w:ind w:left="720" w:hanging="360"/>
      </w:pPr>
      <w:r>
        <w:rPr>
          <w:rFonts w:ascii="Times New Roman"/>
          <w:b/>
          <w:bCs/>
          <w:color w:val="0E7C7B"/>
          <w:sz w:val="24"/>
          <w:szCs w:val="24"/>
        </w:rPr>
        <w:t xml:space="preserve">7.  </w:t>
      </w:r>
      <w:r>
        <w:rPr>
          <w:rFonts w:ascii="Times New Roman" w:eastAsia="SimSun"/>
          <w:color w:val="000000"/>
          <w:sz w:val="24"/>
          <w:szCs w:val="24"/>
        </w:rPr>
        <w:t xml:space="preserve">Archive Tab — Quarter snapshots with per-quarter CSV export, full research metadata export, and a complete upload audit log showing every merge and replace operation.</w:t>
      </w:r>
    </w:p>
    <w:p>
      <w:pPr>
        <w:spacing w:after="80" w:line="312"/>
        <w:ind w:left="720" w:hanging="360"/>
      </w:pPr>
      <w:r>
        <w:rPr>
          <w:rFonts w:ascii="Times New Roman"/>
          <w:b/>
          <w:bCs/>
          <w:color w:val="0E7C7B"/>
          <w:sz w:val="24"/>
          <w:szCs w:val="24"/>
        </w:rPr>
        <w:t xml:space="preserve">8.  </w:t>
      </w:r>
      <w:r>
        <w:rPr>
          <w:rFonts w:ascii="Times New Roman" w:eastAsia="SimSun"/>
          <w:color w:val="000000"/>
          <w:sz w:val="24"/>
          <w:szCs w:val="24"/>
        </w:rPr>
        <w:t xml:space="preserve">Upload Tab — A drag-and-drop portal with Merge (recommended) and Replace modes, schema validation, concurrency-safe uploads (mutex with auto-retry), and automatic file-type detection for CSV, XLSX, and XLS files.</w:t>
      </w:r>
    </w:p>
    <w:p>
      <w:pPr>
        <w:pStyle w:val="Heading2"/>
        <w:spacing w:after="160" w:before="280" w:line="312"/>
      </w:pPr>
      <w:r>
        <w:rPr>
          <w:rFonts w:ascii="Times New Roman" w:eastAsia="SimHei"/>
          <w:b/>
          <w:bCs/>
          <w:color w:val="162032"/>
          <w:sz w:val="30"/>
          <w:szCs w:val="30"/>
        </w:rPr>
        <w:t xml:space="preserve">C. AI-Powered Features</w:t>
      </w:r>
    </w:p>
    <w:p>
      <w:pPr>
        <w:spacing w:after="120" w:line="312"/>
        <w:ind w:firstLine="480"/>
        <w:jc w:val="both"/>
      </w:pPr>
      <w:r>
        <w:rPr>
          <w:rFonts w:ascii="Times New Roman" w:eastAsia="SimSun"/>
          <w:color w:val="000000"/>
          <w:sz w:val="24"/>
          <w:szCs w:val="24"/>
        </w:rPr>
        <w:t xml:space="preserve">The Application includes two artificial intelligence features powered by the Z.AI GLM large language model:</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AI Research Advisor — A floating chat panel accessible from any page. Decision-makers can ask questions in plain English (e.g., "Which schools need the most help?" or "What intervention should we prioritize?") and receive data-grounded answers referencing live dashboard data.</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Automated Quarterly Report Writer — A "Generate Quarterly Report" button in the header that produces a comprehensive 2–3 page narrative report with seven sections: Executive Summary, Division-Wide Progress, Milestone Analysis, Research Pipeline, School Highlights, Recommended Interventions, and Conclusion. The report can be downloaded as Markdown or plain text.</w:t>
      </w:r>
    </w:p>
    <w:p>
      <w:pPr>
        <w:pStyle w:val="Heading2"/>
        <w:spacing w:after="160" w:before="280" w:line="312"/>
      </w:pPr>
      <w:r>
        <w:rPr>
          <w:rFonts w:ascii="Times New Roman" w:eastAsia="SimHei"/>
          <w:b/>
          <w:bCs/>
          <w:color w:val="162032"/>
          <w:sz w:val="30"/>
          <w:szCs w:val="30"/>
        </w:rPr>
        <w:t xml:space="preserve">D. Technical Specifications</w:t>
      </w:r>
    </w:p>
    <w:p>
      <w:pPr>
        <w:spacing w:after="120" w:line="312"/>
        <w:ind w:firstLine="480"/>
        <w:jc w:val="both"/>
      </w:pPr>
      <w:r>
        <w:rPr>
          <w:rFonts w:ascii="Times New Roman" w:eastAsia="SimSun"/>
          <w:color w:val="000000"/>
          <w:sz w:val="24"/>
          <w:szCs w:val="24"/>
        </w:rPr>
        <w:t xml:space="preserve">The Application is built on the following technology stack:</w:t>
      </w:r>
    </w:p>
    <w:tbl>
      <w:tblPr>
        <w:tblW w:type="pct" w:w="100%"/>
        <w:tblBorders>
          <w:top w:val="single" w:color="5B6B7D" w:sz="4"/>
          <w:left w:val="single" w:color="5B6B7D" w:sz="4"/>
          <w:bottom w:val="single" w:color="5B6B7D" w:sz="4"/>
          <w:right w:val="single" w:color="5B6B7D" w:sz="4"/>
          <w:insideH w:val="single" w:color="D0D5DD" w:sz="2"/>
          <w:insideV w:val="single" w:color="D0D5DD" w:sz="2"/>
        </w:tblBorders>
        <w:tblLayout w:type="fixed"/>
      </w:tblPr>
      <w:tblGrid>
        <w:gridCol w:w="100"/>
        <w:gridCol w:w="100"/>
      </w:tblGrid>
      <w:tr>
        <w:trPr>
          <w:tblHeader/>
        </w:trPr>
        <w:tc>
          <w:tcPr>
            <w:tcW w:type="pct" w:w="30%"/>
            <w:shd w:fill="0E7C7B" w:val="clear"/>
            <w:tcMar>
              <w:top w:type="dxa" w:w="80"/>
              <w:left w:type="dxa" w:w="120"/>
              <w:bottom w:type="dxa" w:w="80"/>
              <w:right w:type="dxa" w:w="120"/>
            </w:tcMar>
          </w:tcPr>
          <w:p>
            <w:pPr>
              <w:spacing w:line="280"/>
              <w:ind w:firstLine="0"/>
              <w:jc w:val="left"/>
            </w:pPr>
            <w:r>
              <w:rPr>
                <w:rFonts w:ascii="Times New Roman" w:eastAsia="SimSun"/>
                <w:b/>
                <w:bCs/>
                <w:color w:val="FFFFFF"/>
                <w:sz w:val="22"/>
                <w:szCs w:val="22"/>
              </w:rPr>
              <w:t xml:space="preserve">Component</w:t>
            </w:r>
          </w:p>
        </w:tc>
        <w:tc>
          <w:tcPr>
            <w:tcW w:type="pct" w:w="70%"/>
            <w:shd w:fill="0E7C7B" w:val="clear"/>
            <w:tcMar>
              <w:top w:type="dxa" w:w="80"/>
              <w:left w:type="dxa" w:w="120"/>
              <w:bottom w:type="dxa" w:w="80"/>
              <w:right w:type="dxa" w:w="120"/>
            </w:tcMar>
          </w:tcPr>
          <w:p>
            <w:pPr>
              <w:spacing w:line="280"/>
              <w:ind w:firstLine="0"/>
              <w:jc w:val="left"/>
            </w:pPr>
            <w:r>
              <w:rPr>
                <w:rFonts w:ascii="Times New Roman" w:eastAsia="SimSun"/>
                <w:b/>
                <w:bCs/>
                <w:color w:val="FFFFFF"/>
                <w:sz w:val="22"/>
                <w:szCs w:val="22"/>
              </w:rPr>
              <w:t xml:space="preserve">Technology</w:t>
            </w:r>
          </w:p>
        </w:tc>
      </w:tr>
      <w:tr>
        <w:tc>
          <w:tcPr>
            <w:tcW w:type="pct" w:w="3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Framework</w:t>
            </w:r>
          </w:p>
        </w:tc>
        <w:tc>
          <w:tcPr>
            <w:tcW w:type="pct" w:w="7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Next.js 16 with App Router</w:t>
            </w:r>
          </w:p>
        </w:tc>
      </w:tr>
      <w:tr>
        <w:tc>
          <w:tcPr>
            <w:tcW w:type="pct" w:w="30%"/>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Language</w:t>
            </w:r>
          </w:p>
        </w:tc>
        <w:tc>
          <w:tcPr>
            <w:tcW w:type="pct" w:w="70%"/>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TypeScript 5</w:t>
            </w:r>
          </w:p>
        </w:tc>
      </w:tr>
      <w:tr>
        <w:tc>
          <w:tcPr>
            <w:tcW w:type="pct" w:w="3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Database</w:t>
            </w:r>
          </w:p>
        </w:tc>
        <w:tc>
          <w:tcPr>
            <w:tcW w:type="pct" w:w="7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SQLite via Prisma ORM</w:t>
            </w:r>
          </w:p>
        </w:tc>
      </w:tr>
      <w:tr>
        <w:tc>
          <w:tcPr>
            <w:tcW w:type="pct" w:w="30%"/>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UI Components</w:t>
            </w:r>
          </w:p>
        </w:tc>
        <w:tc>
          <w:tcPr>
            <w:tcW w:type="pct" w:w="70%"/>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shadcn/ui (New York style) with Tailwind CSS 4</w:t>
            </w:r>
          </w:p>
        </w:tc>
      </w:tr>
      <w:tr>
        <w:tc>
          <w:tcPr>
            <w:tcW w:type="pct" w:w="3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Charts</w:t>
            </w:r>
          </w:p>
        </w:tc>
        <w:tc>
          <w:tcPr>
            <w:tcW w:type="pct" w:w="7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Recharts (responsive, dark-mode)</w:t>
            </w:r>
          </w:p>
        </w:tc>
      </w:tr>
      <w:tr>
        <w:tc>
          <w:tcPr>
            <w:tcW w:type="pct" w:w="30%"/>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AI Integration</w:t>
            </w:r>
          </w:p>
        </w:tc>
        <w:tc>
          <w:tcPr>
            <w:tcW w:type="pct" w:w="70%"/>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Z.AI GLM-4 via z-ai-web-dev-sdk</w:t>
            </w:r>
          </w:p>
        </w:tc>
      </w:tr>
      <w:tr>
        <w:tc>
          <w:tcPr>
            <w:tcW w:type="pct" w:w="3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PDF Generation</w:t>
            </w:r>
          </w:p>
        </w:tc>
        <w:tc>
          <w:tcPr>
            <w:tcW w:type="pct" w:w="7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jsPDF (client-side), ReportLab (User Manual)</w:t>
            </w:r>
          </w:p>
        </w:tc>
      </w:tr>
      <w:tr>
        <w:tc>
          <w:tcPr>
            <w:tcW w:type="pct" w:w="30%"/>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File Parsing</w:t>
            </w:r>
          </w:p>
        </w:tc>
        <w:tc>
          <w:tcPr>
            <w:tcW w:type="pct" w:w="70%"/>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xlsx (Excel), PapaParse (CSV)</w:t>
            </w:r>
          </w:p>
        </w:tc>
      </w:tr>
      <w:tr>
        <w:tc>
          <w:tcPr>
            <w:tcW w:type="pct" w:w="3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Authentication</w:t>
            </w:r>
          </w:p>
        </w:tc>
        <w:tc>
          <w:tcPr>
            <w:tcW w:type="pct" w:w="70%"/>
            <w:shd w:fill="F5F7FA" w:val="clear"/>
            <w:tcMar>
              <w:top w:type="dxa" w:w="80"/>
              <w:left w:type="dxa" w:w="120"/>
              <w:bottom w:type="dxa" w:w="80"/>
              <w:right w:type="dxa" w:w="120"/>
            </w:tcMar>
          </w:tcPr>
          <w:p>
            <w:pPr>
              <w:spacing w:line="280"/>
              <w:ind w:firstLine="0"/>
              <w:jc w:val="left"/>
            </w:pPr>
            <w:r>
              <w:rPr>
                <w:rFonts w:ascii="Times New Roman" w:eastAsia="SimSun"/>
                <w:b w:val="false"/>
                <w:bCs w:val="false"/>
                <w:color w:val="000000"/>
                <w:sz w:val="22"/>
                <w:szCs w:val="22"/>
              </w:rPr>
              <w:t xml:space="preserve">NextAuth.js v4 (available, not yet configured)</w:t>
            </w:r>
          </w:p>
        </w:tc>
      </w:tr>
    </w:tbl>
    <w:p>
      <w:pPr>
        <w:spacing w:after="200"/>
      </w:pPr>
    </w:p>
    <w:p>
      <w:pPr>
        <w:pStyle w:val="Heading1"/>
        <w:spacing w:after="200" w:before="360" w:line="312"/>
        <w:jc w:val="left"/>
      </w:pPr>
      <w:r>
        <w:rPr>
          <w:rFonts w:ascii="Times New Roman" w:eastAsia="SimHei"/>
          <w:b/>
          <w:bCs/>
          <w:color w:val="162032"/>
          <w:sz w:val="32"/>
          <w:szCs w:val="32"/>
        </w:rPr>
        <w:t xml:space="preserve">III. Inventory of Turned-Over Assets</w:t>
      </w:r>
    </w:p>
    <w:p>
      <w:pPr>
        <w:spacing w:after="120" w:line="312"/>
        <w:ind w:firstLine="480"/>
        <w:jc w:val="both"/>
      </w:pPr>
      <w:r>
        <w:rPr>
          <w:rFonts w:ascii="Times New Roman" w:eastAsia="SimSun"/>
          <w:color w:val="000000"/>
          <w:sz w:val="24"/>
          <w:szCs w:val="24"/>
        </w:rPr>
        <w:t xml:space="preserve">The following assets are formally transferred to the El Salvador Division:</w:t>
      </w:r>
    </w:p>
    <w:p>
      <w:pPr>
        <w:pStyle w:val="Heading2"/>
        <w:spacing w:after="160" w:before="280" w:line="312"/>
      </w:pPr>
      <w:r>
        <w:rPr>
          <w:rFonts w:ascii="Times New Roman" w:eastAsia="SimHei"/>
          <w:b/>
          <w:bCs/>
          <w:color w:val="162032"/>
          <w:sz w:val="30"/>
          <w:szCs w:val="30"/>
        </w:rPr>
        <w:t xml:space="preserve">A. Source Code and Application Files</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Complete Next.js application source code (TypeScript)</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Prisma database schema and migration scripts</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Database seed script and clean-slate script for pilot deployment</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All dashboard component files (Overview, Schools, Research, Twin Sandbox, Trends, Survey, Archive, Upload)</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AI integration modules (chat endpoint, report generation endpoint)</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Narrative generation engine and policy lever mapping logic</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Printable questionnaire template and PDF report generator</w:t>
      </w:r>
    </w:p>
    <w:p>
      <w:pPr>
        <w:pStyle w:val="Heading2"/>
        <w:spacing w:after="160" w:before="280" w:line="312"/>
      </w:pPr>
      <w:r>
        <w:rPr>
          <w:rFonts w:ascii="Times New Roman" w:eastAsia="SimHei"/>
          <w:b/>
          <w:bCs/>
          <w:color w:val="162032"/>
          <w:sz w:val="30"/>
          <w:szCs w:val="30"/>
        </w:rPr>
        <w:t xml:space="preserve">B. Documentation</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User Manual (Version 2.0) — 28-page PDF covering all eight modules, the RCSI framework, data dictionary, and FAQ. Accessible via the "Manual" button in the Application header.</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This Formal Turnover Document</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Inline code documentation (TypeScript interfaces and comments)</w:t>
      </w:r>
    </w:p>
    <w:p>
      <w:pPr>
        <w:pStyle w:val="Heading2"/>
        <w:spacing w:after="160" w:before="280" w:line="312"/>
      </w:pPr>
      <w:r>
        <w:rPr>
          <w:rFonts w:ascii="Times New Roman" w:eastAsia="SimHei"/>
          <w:b/>
          <w:bCs/>
          <w:color w:val="162032"/>
          <w:sz w:val="30"/>
          <w:szCs w:val="30"/>
        </w:rPr>
        <w:t xml:space="preserve">C. Data Assets</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Pre-loaded demo dataset: 30 schools, 4 quarters (2026-Q1 to Q4), 1,899 research records</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Official El Salvador Division school list (24 real schools with DepEd IDs) embedded in the Application</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RCSI computation engine with the seven-dimension framework and M0–M6 milestone classifier</w:t>
      </w:r>
    </w:p>
    <w:p>
      <w:pPr>
        <w:pStyle w:val="Heading2"/>
        <w:spacing w:after="160" w:before="280" w:line="312"/>
      </w:pPr>
      <w:r>
        <w:rPr>
          <w:rFonts w:ascii="Times New Roman" w:eastAsia="SimHei"/>
          <w:b/>
          <w:bCs/>
          <w:color w:val="162032"/>
          <w:sz w:val="30"/>
          <w:szCs w:val="30"/>
        </w:rPr>
        <w:t xml:space="preserve">D. Configuration and Deployment Assets</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Caddyfile (gateway configuration)</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Environment configuration files</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Package.json with all dependencies</w:t>
      </w:r>
    </w:p>
    <w:p>
      <w:pPr>
        <w:spacing w:after="80" w:line="312"/>
        <w:ind w:left="720" w:hanging="360"/>
      </w:pPr>
      <w:r>
        <w:rPr>
          <w:rFonts w:ascii="Times New Roman"/>
          <w:color w:val="0E7C7B"/>
          <w:sz w:val="24"/>
          <w:szCs w:val="24"/>
        </w:rPr>
        <w:t xml:space="preserve">•  </w:t>
      </w:r>
      <w:r>
        <w:rPr>
          <w:rFonts w:ascii="Times New Roman" w:eastAsia="SimSun"/>
          <w:color w:val="000000"/>
          <w:sz w:val="24"/>
          <w:szCs w:val="24"/>
        </w:rPr>
        <w:t xml:space="preserve">ESLint configuration for code quality</w:t>
      </w:r>
    </w:p>
    <w:p>
      <w:pPr>
        <w:pStyle w:val="Heading1"/>
        <w:spacing w:after="200" w:before="360" w:line="312"/>
        <w:jc w:val="left"/>
      </w:pPr>
      <w:r>
        <w:rPr>
          <w:rFonts w:ascii="Times New Roman" w:eastAsia="SimHei"/>
          <w:b/>
          <w:bCs/>
          <w:color w:val="162032"/>
          <w:sz w:val="32"/>
          <w:szCs w:val="32"/>
        </w:rPr>
        <w:t xml:space="preserve">IV. Terms and Conditions of Transfer</w:t>
      </w:r>
    </w:p>
    <w:p>
      <w:pPr>
        <w:pStyle w:val="Heading2"/>
        <w:spacing w:after="160" w:before="280" w:line="312"/>
      </w:pPr>
      <w:r>
        <w:rPr>
          <w:rFonts w:ascii="Times New Roman" w:eastAsia="SimHei"/>
          <w:b/>
          <w:bCs/>
          <w:color w:val="162032"/>
          <w:sz w:val="30"/>
          <w:szCs w:val="30"/>
        </w:rPr>
        <w:t xml:space="preserve">A. Ownership and Intellectual Property</w:t>
      </w:r>
    </w:p>
    <w:p>
      <w:pPr>
        <w:spacing w:after="120" w:line="312"/>
        <w:ind w:firstLine="480"/>
        <w:jc w:val="both"/>
      </w:pPr>
      <w:r>
        <w:rPr>
          <w:rFonts w:ascii="Times New Roman" w:eastAsia="SimSun"/>
          <w:color w:val="000000"/>
          <w:sz w:val="24"/>
          <w:szCs w:val="24"/>
        </w:rPr>
        <w:t xml:space="preserve">Upon execution of this turnover, full ownership of the Application, including all source code, documentation, data models, and associated intellectual property, is transferred to the El Salvador Division. The Division shall have the right to use, modify, distribute, and further develop the Application as it sees fit, without restriction or obligation to the development team.</w:t>
      </w:r>
    </w:p>
    <w:p>
      <w:pPr>
        <w:pStyle w:val="Heading2"/>
        <w:spacing w:after="160" w:before="280" w:line="312"/>
      </w:pPr>
      <w:r>
        <w:rPr>
          <w:rFonts w:ascii="Times New Roman" w:eastAsia="SimHei"/>
          <w:b/>
          <w:bCs/>
          <w:color w:val="162032"/>
          <w:sz w:val="30"/>
          <w:szCs w:val="30"/>
        </w:rPr>
        <w:t xml:space="preserve">B. Warranty Disclaimer</w:t>
      </w:r>
    </w:p>
    <w:p>
      <w:pPr>
        <w:spacing w:after="120" w:line="312"/>
        <w:ind w:firstLine="480"/>
        <w:jc w:val="both"/>
      </w:pPr>
      <w:r>
        <w:rPr>
          <w:rFonts w:ascii="Times New Roman" w:eastAsia="SimSun"/>
          <w:color w:val="000000"/>
          <w:sz w:val="24"/>
          <w:szCs w:val="24"/>
        </w:rPr>
        <w:t xml:space="preserve">The Application is transferred "as is" without any warranty of any kind, express or implied. The development team does not warrant that the Application will be error-free, uninterrupted, or suitable for any particular purpose. The Division assumes all responsibility for the operation and maintenance of the Application following the turnover.</w:t>
      </w:r>
    </w:p>
    <w:p>
      <w:pPr>
        <w:pStyle w:val="Heading2"/>
        <w:spacing w:after="160" w:before="280" w:line="312"/>
      </w:pPr>
      <w:r>
        <w:rPr>
          <w:rFonts w:ascii="Times New Roman" w:eastAsia="SimHei"/>
          <w:b/>
          <w:bCs/>
          <w:color w:val="162032"/>
          <w:sz w:val="30"/>
          <w:szCs w:val="30"/>
        </w:rPr>
        <w:t xml:space="preserve">C. Data Privacy and Security</w:t>
      </w:r>
    </w:p>
    <w:p>
      <w:pPr>
        <w:spacing w:after="120" w:line="312"/>
        <w:ind w:firstLine="480"/>
        <w:jc w:val="both"/>
      </w:pPr>
      <w:r>
        <w:rPr>
          <w:rFonts w:ascii="Times New Roman" w:eastAsia="SimSun"/>
          <w:color w:val="000000"/>
          <w:sz w:val="24"/>
          <w:szCs w:val="24"/>
        </w:rPr>
        <w:t xml:space="preserve">The Division shall be responsible for ensuring compliance with the Data Privacy Act of 2012 (Republic Act No. 10173) and all applicable data protection regulations. The Application stores school and teacher data in a local SQLite database. The Division should implement appropriate security measures, including access controls, regular backups, and data retention policies, before deploying the Application for production use.</w:t>
      </w:r>
    </w:p>
    <w:p>
      <w:pPr>
        <w:pStyle w:val="Heading2"/>
        <w:spacing w:after="160" w:before="280" w:line="312"/>
      </w:pPr>
      <w:r>
        <w:rPr>
          <w:rFonts w:ascii="Times New Roman" w:eastAsia="SimHei"/>
          <w:b/>
          <w:bCs/>
          <w:color w:val="162032"/>
          <w:sz w:val="30"/>
          <w:szCs w:val="30"/>
        </w:rPr>
        <w:t xml:space="preserve">D. AI Feature Considerations</w:t>
      </w:r>
    </w:p>
    <w:p>
      <w:pPr>
        <w:spacing w:after="120" w:line="312"/>
        <w:ind w:firstLine="480"/>
        <w:jc w:val="both"/>
      </w:pPr>
      <w:r>
        <w:rPr>
          <w:rFonts w:ascii="Times New Roman" w:eastAsia="SimSun"/>
          <w:color w:val="000000"/>
          <w:sz w:val="24"/>
          <w:szCs w:val="24"/>
        </w:rPr>
        <w:t xml:space="preserve">The AI-powered features (AI Research Advisor and Automated Quarterly Report Writer) rely on the Z.AI GLM large language model, which processes data via cloud API calls. The Division should review and approve the data transmission involved in these AI features before enabling them in production. The AI features can be disabled if the Division opts not to use cloud-based AI services. AI responses are based on live dashboard data but should be verified before making policy or budget decisions.</w:t>
      </w:r>
    </w:p>
    <w:p>
      <w:pPr>
        <w:pStyle w:val="Heading2"/>
        <w:spacing w:after="160" w:before="280" w:line="312"/>
      </w:pPr>
      <w:r>
        <w:rPr>
          <w:rFonts w:ascii="Times New Roman" w:eastAsia="SimHei"/>
          <w:b/>
          <w:bCs/>
          <w:color w:val="162032"/>
          <w:sz w:val="30"/>
          <w:szCs w:val="30"/>
        </w:rPr>
        <w:t xml:space="preserve">E. Prototype Status</w:t>
      </w:r>
    </w:p>
    <w:p>
      <w:pPr>
        <w:spacing w:after="120" w:line="312"/>
        <w:ind w:firstLine="480"/>
        <w:jc w:val="both"/>
      </w:pPr>
      <w:r>
        <w:rPr>
          <w:rFonts w:ascii="Times New Roman" w:eastAsia="SimSun"/>
          <w:color w:val="000000"/>
          <w:sz w:val="24"/>
          <w:szCs w:val="24"/>
        </w:rPr>
        <w:t xml:space="preserve">The Application is currently designated as "Prototype — For Approval" as indicated by the amber badge in the Application header. This status shall remain until the Division Superintendents grant formal approval. Upon approval, the Division should: (1) remove the "Prototype — For Approval" badge from the header, footer, PDF reports, and printable questionnaire; (2) add the official El Salvador Division logo to the header and printed materials; and (3) update the Application version designation as appropriate.</w:t>
      </w:r>
    </w:p>
    <w:p>
      <w:pPr>
        <w:pStyle w:val="Heading1"/>
        <w:spacing w:after="200" w:before="360" w:line="312"/>
        <w:jc w:val="left"/>
      </w:pPr>
      <w:r>
        <w:rPr>
          <w:rFonts w:ascii="Times New Roman" w:eastAsia="SimHei"/>
          <w:b/>
          <w:bCs/>
          <w:color w:val="162032"/>
          <w:sz w:val="32"/>
          <w:szCs w:val="32"/>
        </w:rPr>
        <w:t xml:space="preserve">V. Roles and Responsibilities</w:t>
      </w:r>
    </w:p>
    <w:p>
      <w:pPr>
        <w:pStyle w:val="Heading2"/>
        <w:spacing w:after="160" w:before="280" w:line="312"/>
      </w:pPr>
      <w:r>
        <w:rPr>
          <w:rFonts w:ascii="Times New Roman" w:eastAsia="SimHei"/>
          <w:b/>
          <w:bCs/>
          <w:color w:val="162032"/>
          <w:sz w:val="30"/>
          <w:szCs w:val="30"/>
        </w:rPr>
        <w:t xml:space="preserve">A. El Salvador Division (Receiving Party)</w:t>
      </w:r>
    </w:p>
    <w:p>
      <w:pPr>
        <w:spacing w:after="120" w:line="312"/>
        <w:ind w:firstLine="480"/>
        <w:jc w:val="both"/>
      </w:pPr>
      <w:r>
        <w:rPr>
          <w:rFonts w:ascii="Times New Roman" w:eastAsia="SimSun"/>
          <w:color w:val="000000"/>
          <w:sz w:val="24"/>
          <w:szCs w:val="24"/>
        </w:rPr>
        <w:t xml:space="preserve">The Division shall assume the following responsibilities upon turnover:</w:t>
      </w:r>
    </w:p>
    <w:p>
      <w:pPr>
        <w:spacing w:after="80" w:line="312"/>
        <w:ind w:left="720" w:hanging="360"/>
      </w:pPr>
      <w:r>
        <w:rPr>
          <w:rFonts w:ascii="Times New Roman"/>
          <w:b/>
          <w:bCs/>
          <w:color w:val="0E7C7B"/>
          <w:sz w:val="24"/>
          <w:szCs w:val="24"/>
        </w:rPr>
        <w:t xml:space="preserve">1.  </w:t>
      </w:r>
      <w:r>
        <w:rPr>
          <w:rFonts w:ascii="Times New Roman" w:eastAsia="SimSun"/>
          <w:color w:val="000000"/>
          <w:sz w:val="24"/>
          <w:szCs w:val="24"/>
        </w:rPr>
        <w:t xml:space="preserve">Operation and Maintenance — The Division shall designate an administrator (typically an IT or data officer) responsible for the day-to-day operation of the Application, including server management, database backups, and user support.</w:t>
      </w:r>
    </w:p>
    <w:p>
      <w:pPr>
        <w:spacing w:after="80" w:line="312"/>
        <w:ind w:left="720" w:hanging="360"/>
      </w:pPr>
      <w:r>
        <w:rPr>
          <w:rFonts w:ascii="Times New Roman"/>
          <w:b/>
          <w:bCs/>
          <w:color w:val="0E7C7B"/>
          <w:sz w:val="24"/>
          <w:szCs w:val="24"/>
        </w:rPr>
        <w:t xml:space="preserve">2.  </w:t>
      </w:r>
      <w:r>
        <w:rPr>
          <w:rFonts w:ascii="Times New Roman" w:eastAsia="SimSun"/>
          <w:color w:val="000000"/>
          <w:sz w:val="24"/>
          <w:szCs w:val="24"/>
        </w:rPr>
        <w:t xml:space="preserve">Data Management — The Division shall oversee the quarterly data collection cycle, ensure timely uploads of survey and research metadata, and maintain the integrity of the historical data archive.</w:t>
      </w:r>
    </w:p>
    <w:p>
      <w:pPr>
        <w:spacing w:after="80" w:line="312"/>
        <w:ind w:left="720" w:hanging="360"/>
      </w:pPr>
      <w:r>
        <w:rPr>
          <w:rFonts w:ascii="Times New Roman"/>
          <w:b/>
          <w:bCs/>
          <w:color w:val="0E7C7B"/>
          <w:sz w:val="24"/>
          <w:szCs w:val="24"/>
        </w:rPr>
        <w:t xml:space="preserve">3.  </w:t>
      </w:r>
      <w:r>
        <w:rPr>
          <w:rFonts w:ascii="Times New Roman" w:eastAsia="SimSun"/>
          <w:color w:val="000000"/>
          <w:sz w:val="24"/>
          <w:szCs w:val="24"/>
        </w:rPr>
        <w:t xml:space="preserve">User Access Management — The Division shall control who has access to the Application and ensure that only authorized personnel can upload data or generate reports.</w:t>
      </w:r>
    </w:p>
    <w:p>
      <w:pPr>
        <w:spacing w:after="80" w:line="312"/>
        <w:ind w:left="720" w:hanging="360"/>
      </w:pPr>
      <w:r>
        <w:rPr>
          <w:rFonts w:ascii="Times New Roman"/>
          <w:b/>
          <w:bCs/>
          <w:color w:val="0E7C7B"/>
          <w:sz w:val="24"/>
          <w:szCs w:val="24"/>
        </w:rPr>
        <w:t xml:space="preserve">4.  </w:t>
      </w:r>
      <w:r>
        <w:rPr>
          <w:rFonts w:ascii="Times New Roman" w:eastAsia="SimSun"/>
          <w:color w:val="000000"/>
          <w:sz w:val="24"/>
          <w:szCs w:val="24"/>
        </w:rPr>
        <w:t xml:space="preserve">Approval and Branding — Upon formal approval by the Superintendents, the Division shall update the Application branding (remove the prototype badge, add the official logo) and designate the Application as an official Division tool.</w:t>
      </w:r>
    </w:p>
    <w:p>
      <w:pPr>
        <w:spacing w:after="80" w:line="312"/>
        <w:ind w:left="720" w:hanging="360"/>
      </w:pPr>
      <w:r>
        <w:rPr>
          <w:rFonts w:ascii="Times New Roman"/>
          <w:b/>
          <w:bCs/>
          <w:color w:val="0E7C7B"/>
          <w:sz w:val="24"/>
          <w:szCs w:val="24"/>
        </w:rPr>
        <w:t xml:space="preserve">5.  </w:t>
      </w:r>
      <w:r>
        <w:rPr>
          <w:rFonts w:ascii="Times New Roman" w:eastAsia="SimSun"/>
          <w:color w:val="000000"/>
          <w:sz w:val="24"/>
          <w:szCs w:val="24"/>
        </w:rPr>
        <w:t xml:space="preserve">Further Development — The Division may engage its own IT staff or external developers to modify, extend, or integrate the Application with other Division systems. The source code is fully transferred and no attribution is required.</w:t>
      </w:r>
    </w:p>
    <w:p>
      <w:pPr>
        <w:spacing w:after="80" w:line="312"/>
        <w:ind w:left="720" w:hanging="360"/>
      </w:pPr>
      <w:r>
        <w:rPr>
          <w:rFonts w:ascii="Times New Roman"/>
          <w:b/>
          <w:bCs/>
          <w:color w:val="0E7C7B"/>
          <w:sz w:val="24"/>
          <w:szCs w:val="24"/>
        </w:rPr>
        <w:t xml:space="preserve">6.  </w:t>
      </w:r>
      <w:r>
        <w:rPr>
          <w:rFonts w:ascii="Times New Roman" w:eastAsia="SimSun"/>
          <w:color w:val="000000"/>
          <w:sz w:val="24"/>
          <w:szCs w:val="24"/>
        </w:rPr>
        <w:t xml:space="preserve">AI Feature Governance — The Division shall decide whether to enable, disable, or modify the AI-powered features based on its data privacy policies and operational needs.</w:t>
      </w:r>
    </w:p>
    <w:p>
      <w:pPr>
        <w:pStyle w:val="Heading2"/>
        <w:spacing w:after="160" w:before="280" w:line="312"/>
      </w:pPr>
      <w:r>
        <w:rPr>
          <w:rFonts w:ascii="Times New Roman" w:eastAsia="SimHei"/>
          <w:b/>
          <w:bCs/>
          <w:color w:val="162032"/>
          <w:sz w:val="30"/>
          <w:szCs w:val="30"/>
        </w:rPr>
        <w:t xml:space="preserve">B. Development Team (Turning-Over Party)</w:t>
      </w:r>
    </w:p>
    <w:p>
      <w:pPr>
        <w:spacing w:after="120" w:line="312"/>
        <w:ind w:firstLine="480"/>
        <w:jc w:val="both"/>
      </w:pPr>
      <w:r>
        <w:rPr>
          <w:rFonts w:ascii="Times New Roman" w:eastAsia="SimSun"/>
          <w:color w:val="000000"/>
          <w:sz w:val="24"/>
          <w:szCs w:val="24"/>
        </w:rPr>
        <w:t xml:space="preserve">The development team’s responsibilities conclude upon execution of this turnover. The development team shall: (1) provide this document and all associated assets; (2) be available for a reasonable transition period (not exceeding 30 days) to answer clarifying questions about the Application’s architecture or codebase; and (3) transfer all credentials, access keys, and configuration files necessary for the Division to operate the Application independently.</w:t>
      </w:r>
    </w:p>
    <w:p>
      <w:pPr>
        <w:spacing w:after="120" w:line="312"/>
        <w:ind w:firstLine="480"/>
        <w:jc w:val="both"/>
      </w:pPr>
      <w:r>
        <w:rPr>
          <w:rFonts w:ascii="Times New Roman" w:eastAsia="SimSun"/>
          <w:color w:val="000000"/>
          <w:sz w:val="24"/>
          <w:szCs w:val="24"/>
        </w:rPr>
        <w:t xml:space="preserve">Following the transition period, the development team shall have no further obligation to the Division regarding the Application, except as may be mutually agreed in a separate support or maintenance contract.</w:t>
      </w:r>
    </w:p>
    <w:p>
      <w:pPr>
        <w:pStyle w:val="Heading1"/>
        <w:spacing w:after="200" w:before="360" w:line="312"/>
        <w:jc w:val="left"/>
      </w:pPr>
      <w:r>
        <w:rPr>
          <w:rFonts w:ascii="Times New Roman" w:eastAsia="SimHei"/>
          <w:b/>
          <w:bCs/>
          <w:color w:val="162032"/>
          <w:sz w:val="32"/>
          <w:szCs w:val="32"/>
        </w:rPr>
        <w:t xml:space="preserve">VI. Acceptance and Acknowledgement</w:t>
      </w:r>
    </w:p>
    <w:p>
      <w:pPr>
        <w:spacing w:after="120" w:line="312"/>
        <w:ind w:firstLine="480"/>
        <w:jc w:val="both"/>
      </w:pPr>
      <w:r>
        <w:rPr>
          <w:rFonts w:ascii="Times New Roman" w:eastAsia="SimSun"/>
          <w:color w:val="000000"/>
          <w:sz w:val="24"/>
          <w:szCs w:val="24"/>
        </w:rPr>
        <w:t xml:space="preserve">By signing below, the authorized representatives of the El Salvador Division acknowledge that they have received, reviewed, and accepted the Application and all associated assets as described in this document. The Division confirms that the Application has been demonstrated and found to be in working condition, and that all assets listed in Section III have been transferred.</w:t>
      </w:r>
    </w:p>
    <w:p>
      <w:pPr>
        <w:spacing w:after="120" w:line="312"/>
        <w:ind w:firstLine="480"/>
        <w:jc w:val="both"/>
      </w:pPr>
      <w:r>
        <w:rPr>
          <w:rFonts w:ascii="Times New Roman" w:eastAsia="SimSun"/>
          <w:color w:val="000000"/>
          <w:sz w:val="24"/>
          <w:szCs w:val="24"/>
        </w:rPr>
        <w:t xml:space="preserve">The Division further acknowledges that it has read and understood the Terms and Conditions (Section IV) and the Roles and Responsibilities (Section V), and that it assumes full responsibility for the Application effective on the date of signature.</w:t>
      </w:r>
    </w:p>
    <w:p>
      <w:pPr>
        <w:spacing w:before="600"/>
      </w:pP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50%"/>
            <w:tcBorders>
              <w:top w:val="none" w:color="FFFFFF" w:sz="0"/>
              <w:left w:val="none" w:color="FFFFFF" w:sz="0"/>
              <w:bottom w:val="none" w:color="FFFFFF" w:sz="0"/>
              <w:right w:val="none" w:color="FFFFFF" w:sz="0"/>
            </w:tcBorders>
            <w:tcMar>
              <w:top w:type="dxa" w:w="200"/>
              <w:left w:type="dxa" w:w="0"/>
              <w:bottom w:type="dxa" w:w="200"/>
              <w:right w:type="dxa" w:w="200"/>
            </w:tcMar>
          </w:tcPr>
          <w:p>
            <w:pPr>
              <w:spacing w:after="600"/>
            </w:pPr>
            <w:r>
              <w:rPr>
                <w:rFonts w:ascii="Times New Roman"/>
                <w:color w:val="000000"/>
                <w:sz w:val="24"/>
                <w:szCs w:val="24"/>
              </w:rPr>
              <w:t xml:space="preserve">___________________________</w:t>
            </w:r>
          </w:p>
          <w:p>
            <w:pPr>
              <w:spacing w:after="80"/>
            </w:pPr>
            <w:r>
              <w:rPr>
                <w:rFonts w:ascii="Times New Roman" w:eastAsia="SimHei"/>
                <w:b/>
                <w:bCs/>
                <w:color w:val="162032"/>
                <w:sz w:val="24"/>
                <w:szCs w:val="24"/>
              </w:rPr>
              <w:t xml:space="preserve">Division Superintendent</w:t>
            </w:r>
          </w:p>
          <w:p>
            <w:r>
              <w:rPr>
                <w:rFonts w:ascii="Times New Roman"/>
                <w:color w:val="5B6B7D"/>
                <w:sz w:val="22"/>
                <w:szCs w:val="22"/>
              </w:rPr>
              <w:t xml:space="preserve">El Salvador Division</w:t>
            </w:r>
          </w:p>
          <w:p>
            <w:pPr>
              <w:spacing w:before="200"/>
            </w:pPr>
            <w:r>
              <w:rPr>
                <w:rFonts w:ascii="Times New Roman"/>
                <w:color w:val="5B6B7D"/>
                <w:sz w:val="22"/>
                <w:szCs w:val="22"/>
              </w:rPr>
              <w:t xml:space="preserve">Date: __________________</w:t>
            </w:r>
          </w:p>
        </w:tc>
        <w:tc>
          <w:tcPr>
            <w:tcW w:type="pct" w:w="50%"/>
            <w:tcBorders>
              <w:top w:val="none" w:color="FFFFFF" w:sz="0"/>
              <w:left w:val="none" w:color="FFFFFF" w:sz="0"/>
              <w:bottom w:val="none" w:color="FFFFFF" w:sz="0"/>
              <w:right w:val="none" w:color="FFFFFF" w:sz="0"/>
            </w:tcBorders>
            <w:tcMar>
              <w:top w:type="dxa" w:w="200"/>
              <w:left w:type="dxa" w:w="200"/>
              <w:bottom w:type="dxa" w:w="200"/>
              <w:right w:type="dxa" w:w="0"/>
            </w:tcMar>
          </w:tcPr>
          <w:p>
            <w:pPr>
              <w:spacing w:after="600"/>
            </w:pPr>
            <w:r>
              <w:rPr>
                <w:rFonts w:ascii="Times New Roman"/>
                <w:color w:val="000000"/>
                <w:sz w:val="24"/>
                <w:szCs w:val="24"/>
              </w:rPr>
              <w:t xml:space="preserve">___________________________</w:t>
            </w:r>
          </w:p>
          <w:p>
            <w:pPr>
              <w:spacing w:after="80"/>
            </w:pPr>
            <w:r>
              <w:rPr>
                <w:rFonts w:ascii="Times New Roman" w:eastAsia="SimHei"/>
                <w:b/>
                <w:bCs/>
                <w:color w:val="162032"/>
                <w:sz w:val="24"/>
                <w:szCs w:val="24"/>
              </w:rPr>
              <w:t xml:space="preserve">Development Team Representative</w:t>
            </w:r>
          </w:p>
          <w:p>
            <w:r>
              <w:rPr>
                <w:rFonts w:ascii="Times New Roman"/>
                <w:color w:val="5B6B7D"/>
                <w:sz w:val="22"/>
                <w:szCs w:val="22"/>
              </w:rPr>
              <w:t xml:space="preserve">RCSI Dashboard Development</w:t>
            </w:r>
          </w:p>
          <w:p>
            <w:pPr>
              <w:spacing w:before="200"/>
            </w:pPr>
            <w:r>
              <w:rPr>
                <w:rFonts w:ascii="Times New Roman"/>
                <w:color w:val="5B6B7D"/>
                <w:sz w:val="22"/>
                <w:szCs w:val="22"/>
              </w:rPr>
              <w:t xml:space="preserve">Date: __________________</w:t>
            </w:r>
          </w:p>
        </w:tc>
      </w:tr>
    </w:tbl>
    <w:p>
      <w:pPr>
        <w:spacing w:before="800"/>
      </w:pPr>
    </w:p>
    <w:p>
      <w:pPr>
        <w:pBdr>
          <w:top w:val="single" w:color="0E7C7B" w:sz="4" w:space="8"/>
        </w:pBdr>
        <w:spacing w:before="400"/>
        <w:jc w:val="center"/>
      </w:pPr>
      <w:r>
        <w:rPr>
          <w:rFonts w:ascii="Times New Roman"/>
          <w:i/>
          <w:iCs/>
          <w:color w:val="5B6B7D"/>
          <w:sz w:val="22"/>
          <w:szCs w:val="22"/>
        </w:rPr>
        <w:t xml:space="preserve">— End of Formal Turnover Document —</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4"/>
      </w:pBdr>
      <w:jc w:val="center"/>
    </w:pPr>
    <w:r>
      <w:rPr>
        <w:rFonts w:ascii="Times New Roman"/>
        <w:color w:val="5B6B7D"/>
        <w:sz w:val="16"/>
        <w:szCs w:val="16"/>
      </w:rPr>
      <w:t xml:space="preserve">Copyright 2026 El Salvador Division  |  Page </w:t>
    </w:r>
    <w:r>
      <w:rPr>
        <w:rFonts w:ascii="Times New Roman"/>
        <w:color w:val="5B6B7D"/>
        <w:sz w:val="16"/>
        <w:szCs w:val="16"/>
      </w:rPr>
      <w:fldChar w:fldCharType="begin"/>
      <w:instrText xml:space="preserve">PAGE</w:instrText>
      <w:fldChar w:fldCharType="separate"/>
      <w:fldChar w:fldCharType="end"/>
    </w:r>
    <w:r>
      <w:rPr>
        <w:rFonts w:ascii="Times New Roman"/>
        <w:color w:val="5B6B7D"/>
        <w:sz w:val="16"/>
        <w:szCs w:val="16"/>
      </w:rPr>
      <w:t xml:space="preserve"> of </w:t>
    </w:r>
    <w:r>
      <w:rPr>
        <w:rFonts w:ascii="Times New Roman"/>
        <w:color w:val="5B6B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4"/>
      </w:pBdr>
      <w:jc w:val="left"/>
    </w:pPr>
    <w:r>
      <w:rPr>
        <w:rFonts w:ascii="Times New Roman"/>
        <w:color w:val="5B6B7D"/>
        <w:sz w:val="16"/>
        <w:szCs w:val="16"/>
      </w:rPr>
      <w:t xml:space="preserve">El Salvador Division RCSI Dashboard — Formal Turnover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RCSI Dashboard — Formal Turnover Document</dc:title>
  <dc:creator>El Salvador Division</dc:creator>
  <dc:description>Formal turnover of the RCSI Interactive Dashboard and Digital Twin Sandbox to the El Salvador Division</dc:description>
  <cp:lastModifiedBy>Un-named</cp:lastModifiedBy>
  <cp:revision>1</cp:revision>
  <dcterms:created xsi:type="dcterms:W3CDTF">2026-07-18T05:09:44.392Z</dcterms:created>
  <dcterms:modified xsi:type="dcterms:W3CDTF">2026-07-18T05:09:44.392Z</dcterms:modified>
</cp:coreProperties>
</file>

<file path=docProps/custom.xml><?xml version="1.0" encoding="utf-8"?>
<Properties xmlns="http://schemas.openxmlformats.org/officeDocument/2006/custom-properties" xmlns:vt="http://schemas.openxmlformats.org/officeDocument/2006/docPropsVTypes"/>
</file>