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14C8" w14:textId="2A0E5244" w:rsidR="00D776EA" w:rsidRDefault="00AD0334">
      <w:pPr>
        <w:spacing w:after="0"/>
        <w:jc w:val="center"/>
      </w:pPr>
      <w:r w:rsidRPr="003B3BD5">
        <w:rPr>
          <w:noProof/>
          <w:lang w:val="es-419"/>
        </w:rPr>
        <w:drawing>
          <wp:anchor distT="0" distB="0" distL="114300" distR="114300" simplePos="0" relativeHeight="251659264" behindDoc="0" locked="0" layoutInCell="1" allowOverlap="1" wp14:anchorId="0276C33D" wp14:editId="67ED7F3D">
            <wp:simplePos x="0" y="0"/>
            <wp:positionH relativeFrom="column">
              <wp:posOffset>857250</wp:posOffset>
            </wp:positionH>
            <wp:positionV relativeFrom="paragraph">
              <wp:posOffset>7590790</wp:posOffset>
            </wp:positionV>
            <wp:extent cx="4429125" cy="1498576"/>
            <wp:effectExtent l="0" t="0" r="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98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58D">
        <w:rPr>
          <w:noProof/>
        </w:rPr>
        <w:drawing>
          <wp:inline distT="0" distB="0" distL="0" distR="0" wp14:anchorId="6F22227B" wp14:editId="0B91A9C1">
            <wp:extent cx="7086600" cy="9170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F23C" w14:textId="77777777" w:rsidR="00D776EA" w:rsidRDefault="00D776EA">
      <w:pPr>
        <w:sectPr w:rsidR="00D776EA">
          <w:pgSz w:w="12240" w:h="15840"/>
          <w:pgMar w:top="173" w:right="173" w:bottom="173" w:left="173" w:header="720" w:footer="720" w:gutter="0"/>
          <w:cols w:space="720"/>
          <w:docGrid w:linePitch="360"/>
        </w:sectPr>
      </w:pPr>
    </w:p>
    <w:p w14:paraId="1110AD69" w14:textId="7203B3A9" w:rsidR="00D776EA" w:rsidRPr="00AD0334" w:rsidRDefault="001B658D">
      <w:pPr>
        <w:spacing w:before="120" w:after="160"/>
        <w:rPr>
          <w:lang w:val="es-BO"/>
        </w:rPr>
      </w:pPr>
      <w:r w:rsidRPr="00AD0334">
        <w:rPr>
          <w:b/>
          <w:color w:val="17252A"/>
          <w:sz w:val="40"/>
          <w:lang w:val="es-BO"/>
        </w:rPr>
        <w:lastRenderedPageBreak/>
        <w:t xml:space="preserve">Práctica </w:t>
      </w:r>
      <w:proofErr w:type="spellStart"/>
      <w:r w:rsidRPr="00AD0334">
        <w:rPr>
          <w:b/>
          <w:color w:val="17252A"/>
          <w:sz w:val="40"/>
          <w:lang w:val="es-BO"/>
        </w:rPr>
        <w:t>Nº</w:t>
      </w:r>
      <w:proofErr w:type="spellEnd"/>
      <w:r w:rsidRPr="00AD0334">
        <w:rPr>
          <w:b/>
          <w:color w:val="17252A"/>
          <w:sz w:val="40"/>
          <w:lang w:val="es-BO"/>
        </w:rPr>
        <w:t xml:space="preserve"> 8: Métodos de infiltración </w:t>
      </w:r>
      <w:r w:rsidR="00AD0334">
        <w:rPr>
          <w:b/>
          <w:color w:val="17252A"/>
          <w:sz w:val="40"/>
          <w:lang w:val="es-BO"/>
        </w:rPr>
        <w:t xml:space="preserve">de la película </w:t>
      </w:r>
    </w:p>
    <w:tbl>
      <w:tblPr>
        <w:tblW w:w="0" w:type="auto"/>
        <w:jc w:val="center"/>
        <w:tblBorders>
          <w:top w:val="single" w:sz="4" w:space="0" w:color="3AAFA9"/>
          <w:left w:val="single" w:sz="4" w:space="0" w:color="3AAFA9"/>
          <w:bottom w:val="single" w:sz="4" w:space="0" w:color="3AAFA9"/>
          <w:right w:val="single" w:sz="4" w:space="0" w:color="3AAFA9"/>
          <w:insideH w:val="single" w:sz="4" w:space="0" w:color="3AAFA9"/>
          <w:insideV w:val="single" w:sz="4" w:space="0" w:color="3AAFA9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D776EA" w14:paraId="05A4C50A" w14:textId="77777777">
        <w:trPr>
          <w:jc w:val="center"/>
        </w:trPr>
        <w:tc>
          <w:tcPr>
            <w:tcW w:w="5256" w:type="dxa"/>
            <w:shd w:val="clear" w:color="auto" w:fill="DEF2F1"/>
            <w:vAlign w:val="center"/>
          </w:tcPr>
          <w:p w14:paraId="47D93ECE" w14:textId="3E6D1B40" w:rsidR="00D776EA" w:rsidRPr="00AD0334" w:rsidRDefault="00AD0334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Fernando Huallpa Oña</w:t>
            </w:r>
          </w:p>
        </w:tc>
        <w:tc>
          <w:tcPr>
            <w:tcW w:w="5256" w:type="dxa"/>
            <w:shd w:val="clear" w:color="auto" w:fill="DEF2F1"/>
            <w:vAlign w:val="center"/>
          </w:tcPr>
          <w:p w14:paraId="744B3E5F" w14:textId="77777777" w:rsidR="00D776EA" w:rsidRDefault="001B658D">
            <w:pPr>
              <w:jc w:val="center"/>
            </w:pPr>
            <w:r>
              <w:rPr>
                <w:b/>
                <w:color w:val="17252A"/>
                <w:sz w:val="18"/>
              </w:rPr>
              <w:t>Grupo: Nº1</w:t>
            </w:r>
          </w:p>
        </w:tc>
      </w:tr>
    </w:tbl>
    <w:p w14:paraId="1D27D44C" w14:textId="77777777" w:rsidR="00D776EA" w:rsidRDefault="00D776EA"/>
    <w:tbl>
      <w:tblPr>
        <w:tblW w:w="0" w:type="auto"/>
        <w:jc w:val="center"/>
        <w:tblBorders>
          <w:top w:val="single" w:sz="8" w:space="0" w:color="3AAFA9"/>
          <w:left w:val="single" w:sz="8" w:space="0" w:color="3AAFA9"/>
          <w:bottom w:val="single" w:sz="8" w:space="0" w:color="3AAFA9"/>
          <w:right w:val="single" w:sz="8" w:space="0" w:color="3AAFA9"/>
          <w:insideH w:val="single" w:sz="8" w:space="0" w:color="3AAFA9"/>
          <w:insideV w:val="single" w:sz="8" w:space="0" w:color="3AAFA9"/>
        </w:tblBorders>
        <w:tblLook w:val="04A0" w:firstRow="1" w:lastRow="0" w:firstColumn="1" w:lastColumn="0" w:noHBand="0" w:noVBand="1"/>
      </w:tblPr>
      <w:tblGrid>
        <w:gridCol w:w="10512"/>
      </w:tblGrid>
      <w:tr w:rsidR="00D776EA" w:rsidRPr="00AD0334" w14:paraId="34A19BF2" w14:textId="77777777">
        <w:trPr>
          <w:jc w:val="center"/>
        </w:trPr>
        <w:tc>
          <w:tcPr>
            <w:tcW w:w="10512" w:type="dxa"/>
            <w:shd w:val="clear" w:color="auto" w:fill="DEF2F1"/>
          </w:tcPr>
          <w:p w14:paraId="7E238B3D" w14:textId="77777777" w:rsidR="00D776EA" w:rsidRPr="00AD0334" w:rsidRDefault="001B658D">
            <w:pPr>
              <w:jc w:val="both"/>
              <w:rPr>
                <w:lang w:val="es-BO"/>
              </w:rPr>
            </w:pPr>
            <w:r w:rsidRPr="00AD0334">
              <w:rPr>
                <w:sz w:val="19"/>
                <w:lang w:val="es-BO"/>
              </w:rPr>
              <w:t>¿</w:t>
            </w:r>
            <w:r w:rsidRPr="00AD0334">
              <w:rPr>
                <w:sz w:val="19"/>
                <w:lang w:val="es-BO"/>
              </w:rPr>
              <w:t>Qué métodos de infiltración se usaron en la película?</w:t>
            </w:r>
          </w:p>
        </w:tc>
      </w:tr>
    </w:tbl>
    <w:p w14:paraId="36E86543" w14:textId="77777777" w:rsidR="00D776EA" w:rsidRPr="00AD0334" w:rsidRDefault="00D776EA">
      <w:pPr>
        <w:rPr>
          <w:lang w:val="es-BO"/>
        </w:rPr>
      </w:pPr>
    </w:p>
    <w:p w14:paraId="0C8186B9" w14:textId="77777777" w:rsidR="00D776EA" w:rsidRPr="00AD0334" w:rsidRDefault="001B658D">
      <w:pPr>
        <w:spacing w:before="120" w:after="160"/>
        <w:rPr>
          <w:lang w:val="es-BO"/>
        </w:rPr>
      </w:pPr>
      <w:r w:rsidRPr="00AD0334">
        <w:rPr>
          <w:b/>
          <w:color w:val="3AAFA9"/>
          <w:sz w:val="28"/>
          <w:lang w:val="es-BO"/>
        </w:rPr>
        <w:t xml:space="preserve">a) Ingeniería social y principio de </w:t>
      </w:r>
      <w:r w:rsidRPr="00AD0334">
        <w:rPr>
          <w:b/>
          <w:color w:val="3AAFA9"/>
          <w:sz w:val="28"/>
          <w:lang w:val="es-BO"/>
        </w:rPr>
        <w:t>autoridad</w:t>
      </w:r>
    </w:p>
    <w:p w14:paraId="601A1057" w14:textId="77777777" w:rsidR="00D776EA" w:rsidRPr="00AD0334" w:rsidRDefault="001B658D">
      <w:pPr>
        <w:jc w:val="both"/>
        <w:rPr>
          <w:lang w:val="es-BO"/>
        </w:rPr>
      </w:pPr>
      <w:r w:rsidRPr="00AD0334">
        <w:rPr>
          <w:sz w:val="19"/>
          <w:lang w:val="es-BO"/>
        </w:rPr>
        <w:t>La ingeniería social consiste en manipular psicológicamente a una persona para que revele información confidencial o realice acciones específicas. En la película, Frank usa uniformes y conversaciones estratégicas para generar confianza.</w:t>
      </w:r>
    </w:p>
    <w:tbl>
      <w:tblPr>
        <w:tblW w:w="0" w:type="auto"/>
        <w:jc w:val="center"/>
        <w:tblBorders>
          <w:top w:val="single" w:sz="6" w:space="0" w:color="3AAFA9"/>
          <w:left w:val="single" w:sz="6" w:space="0" w:color="3AAFA9"/>
          <w:bottom w:val="single" w:sz="6" w:space="0" w:color="3AAFA9"/>
          <w:right w:val="single" w:sz="6" w:space="0" w:color="3AAFA9"/>
          <w:insideH w:val="single" w:sz="6" w:space="0" w:color="3AAFA9"/>
          <w:insideV w:val="single" w:sz="6" w:space="0" w:color="3AAFA9"/>
        </w:tblBorders>
        <w:tblLook w:val="04A0" w:firstRow="1" w:lastRow="0" w:firstColumn="1" w:lastColumn="0" w:noHBand="0" w:noVBand="1"/>
      </w:tblPr>
      <w:tblGrid>
        <w:gridCol w:w="10512"/>
      </w:tblGrid>
      <w:tr w:rsidR="00D776EA" w:rsidRPr="00AD0334" w14:paraId="71A29E5D" w14:textId="77777777">
        <w:trPr>
          <w:jc w:val="center"/>
        </w:trPr>
        <w:tc>
          <w:tcPr>
            <w:tcW w:w="10512" w:type="dxa"/>
            <w:shd w:val="clear" w:color="auto" w:fill="DEF2F1"/>
          </w:tcPr>
          <w:p w14:paraId="62F1CF17" w14:textId="77777777" w:rsidR="00D776EA" w:rsidRPr="00AD0334" w:rsidRDefault="001B658D">
            <w:pPr>
              <w:rPr>
                <w:lang w:val="es-BO"/>
              </w:rPr>
            </w:pPr>
            <w:r w:rsidRPr="00AD0334">
              <w:rPr>
                <w:color w:val="141414"/>
                <w:sz w:val="17"/>
                <w:lang w:val="es-BO"/>
              </w:rPr>
              <w:t xml:space="preserve">• Escena </w:t>
            </w:r>
            <w:r w:rsidRPr="00AD0334">
              <w:rPr>
                <w:color w:val="141414"/>
                <w:sz w:val="17"/>
                <w:lang w:val="es-BO"/>
              </w:rPr>
              <w:t>de los uniformes: el uniforme de piloto de Pan American Airways proyecta estatus y credibilidad; por el principio de autoridad, las personas tienden a confiar en quien aparenta ocupar un cargo reconocido.</w:t>
            </w:r>
          </w:p>
        </w:tc>
      </w:tr>
      <w:tr w:rsidR="00D776EA" w:rsidRPr="00AD0334" w14:paraId="190C67CD" w14:textId="77777777">
        <w:trPr>
          <w:jc w:val="center"/>
        </w:trPr>
        <w:tc>
          <w:tcPr>
            <w:tcW w:w="10512" w:type="dxa"/>
            <w:shd w:val="clear" w:color="auto" w:fill="FFFFFF"/>
          </w:tcPr>
          <w:p w14:paraId="06A23D0A" w14:textId="77777777" w:rsidR="00D776EA" w:rsidRPr="00AD0334" w:rsidRDefault="001B658D">
            <w:pPr>
              <w:rPr>
                <w:lang w:val="es-BO"/>
              </w:rPr>
            </w:pPr>
            <w:r w:rsidRPr="00AD0334">
              <w:rPr>
                <w:color w:val="141414"/>
                <w:sz w:val="17"/>
                <w:lang w:val="es-BO"/>
              </w:rPr>
              <w:t>• Escena de la entrevista: Frank se hace pasar por</w:t>
            </w:r>
            <w:r w:rsidRPr="00AD0334">
              <w:rPr>
                <w:color w:val="141414"/>
                <w:sz w:val="17"/>
                <w:lang w:val="es-BO"/>
              </w:rPr>
              <w:t xml:space="preserve"> periodista escolar y, mediante una conversación sutil, obtiene información sobre el funcionamiento de aerolíneas, aviones y pagos a pilotos.</w:t>
            </w:r>
          </w:p>
        </w:tc>
      </w:tr>
    </w:tbl>
    <w:p w14:paraId="0BF6DBAC" w14:textId="77777777" w:rsidR="00D776EA" w:rsidRPr="00AD0334" w:rsidRDefault="00D776EA">
      <w:pPr>
        <w:rPr>
          <w:lang w:val="es-BO"/>
        </w:rPr>
      </w:pPr>
    </w:p>
    <w:p w14:paraId="185611CE" w14:textId="77777777" w:rsidR="00D776EA" w:rsidRPr="00AD0334" w:rsidRDefault="001B658D">
      <w:pPr>
        <w:spacing w:before="120" w:after="160"/>
        <w:rPr>
          <w:lang w:val="es-BO"/>
        </w:rPr>
      </w:pPr>
      <w:r w:rsidRPr="00AD0334">
        <w:rPr>
          <w:b/>
          <w:color w:val="3AAFA9"/>
          <w:sz w:val="28"/>
          <w:lang w:val="es-BO"/>
        </w:rPr>
        <w:t>b) Falsificación física y materiales</w:t>
      </w:r>
    </w:p>
    <w:p w14:paraId="38F5C7C8" w14:textId="77777777" w:rsidR="00D776EA" w:rsidRPr="00AD0334" w:rsidRDefault="001B658D">
      <w:pPr>
        <w:jc w:val="both"/>
        <w:rPr>
          <w:lang w:val="es-BO"/>
        </w:rPr>
      </w:pPr>
      <w:r w:rsidRPr="00AD0334">
        <w:rPr>
          <w:sz w:val="19"/>
          <w:lang w:val="es-BO"/>
        </w:rPr>
        <w:t xml:space="preserve">Antes de la seguridad digital, gran parte de la validación dependía de </w:t>
      </w:r>
      <w:r w:rsidRPr="00AD0334">
        <w:rPr>
          <w:sz w:val="19"/>
          <w:lang w:val="es-BO"/>
        </w:rPr>
        <w:t>sellos, marcas de agua y papel. Frank altera documentos y cheques para hacerlos pasar por auténticos.</w:t>
      </w:r>
    </w:p>
    <w:tbl>
      <w:tblPr>
        <w:tblW w:w="0" w:type="auto"/>
        <w:jc w:val="center"/>
        <w:tblBorders>
          <w:top w:val="single" w:sz="6" w:space="0" w:color="3AAFA9"/>
          <w:left w:val="single" w:sz="6" w:space="0" w:color="3AAFA9"/>
          <w:bottom w:val="single" w:sz="6" w:space="0" w:color="3AAFA9"/>
          <w:right w:val="single" w:sz="6" w:space="0" w:color="3AAFA9"/>
          <w:insideH w:val="single" w:sz="6" w:space="0" w:color="3AAFA9"/>
          <w:insideV w:val="single" w:sz="6" w:space="0" w:color="3AAFA9"/>
        </w:tblBorders>
        <w:tblLook w:val="04A0" w:firstRow="1" w:lastRow="0" w:firstColumn="1" w:lastColumn="0" w:noHBand="0" w:noVBand="1"/>
      </w:tblPr>
      <w:tblGrid>
        <w:gridCol w:w="10512"/>
      </w:tblGrid>
      <w:tr w:rsidR="00D776EA" w:rsidRPr="00AD0334" w14:paraId="76CA9054" w14:textId="77777777">
        <w:trPr>
          <w:jc w:val="center"/>
        </w:trPr>
        <w:tc>
          <w:tcPr>
            <w:tcW w:w="10512" w:type="dxa"/>
            <w:shd w:val="clear" w:color="auto" w:fill="DEF2F1"/>
          </w:tcPr>
          <w:p w14:paraId="47FE031F" w14:textId="77777777" w:rsidR="00D776EA" w:rsidRPr="00AD0334" w:rsidRDefault="001B658D">
            <w:pPr>
              <w:rPr>
                <w:lang w:val="es-BO"/>
              </w:rPr>
            </w:pPr>
            <w:r w:rsidRPr="00AD0334">
              <w:rPr>
                <w:color w:val="141414"/>
                <w:sz w:val="17"/>
                <w:lang w:val="es-BO"/>
              </w:rPr>
              <w:t>• Impresión clandestina: utiliza una máquina de escribir eléctrica IBM Selectric para imprimir números de ruta y cuenta bancaria.</w:t>
            </w:r>
          </w:p>
        </w:tc>
      </w:tr>
      <w:tr w:rsidR="00D776EA" w:rsidRPr="00AD0334" w14:paraId="7FEDBFC7" w14:textId="77777777">
        <w:trPr>
          <w:jc w:val="center"/>
        </w:trPr>
        <w:tc>
          <w:tcPr>
            <w:tcW w:w="10512" w:type="dxa"/>
            <w:shd w:val="clear" w:color="auto" w:fill="FFFFFF"/>
          </w:tcPr>
          <w:p w14:paraId="540FDF13" w14:textId="77777777" w:rsidR="00D776EA" w:rsidRPr="00AD0334" w:rsidRDefault="001B658D">
            <w:pPr>
              <w:rPr>
                <w:lang w:val="es-BO"/>
              </w:rPr>
            </w:pPr>
            <w:r w:rsidRPr="00AD0334">
              <w:rPr>
                <w:color w:val="141414"/>
                <w:sz w:val="17"/>
                <w:lang w:val="es-BO"/>
              </w:rPr>
              <w:t>• Tinta magnética (MICR</w:t>
            </w:r>
            <w:r w:rsidRPr="00AD0334">
              <w:rPr>
                <w:color w:val="141414"/>
                <w:sz w:val="17"/>
                <w:lang w:val="es-BO"/>
              </w:rPr>
              <w:t>): comprende que los cheques reales poseen tinta especial y busca que sus documentos imiten ese relieve para no levantar sospechas.</w:t>
            </w:r>
          </w:p>
        </w:tc>
      </w:tr>
      <w:tr w:rsidR="00D776EA" w:rsidRPr="00AD0334" w14:paraId="4E42F267" w14:textId="77777777">
        <w:trPr>
          <w:jc w:val="center"/>
        </w:trPr>
        <w:tc>
          <w:tcPr>
            <w:tcW w:w="10512" w:type="dxa"/>
            <w:shd w:val="clear" w:color="auto" w:fill="DEF2F1"/>
          </w:tcPr>
          <w:p w14:paraId="5EE33A5D" w14:textId="77777777" w:rsidR="00D776EA" w:rsidRPr="00AD0334" w:rsidRDefault="001B658D">
            <w:pPr>
              <w:rPr>
                <w:lang w:val="es-BO"/>
              </w:rPr>
            </w:pPr>
            <w:r w:rsidRPr="00AD0334">
              <w:rPr>
                <w:color w:val="141414"/>
                <w:sz w:val="17"/>
                <w:lang w:val="es-BO"/>
              </w:rPr>
              <w:t>• Sellos de caucho: emplea sellos de mano, tintas especiales y borradores químicos para falsificar y fechar documentos banc</w:t>
            </w:r>
            <w:r w:rsidRPr="00AD0334">
              <w:rPr>
                <w:color w:val="141414"/>
                <w:sz w:val="17"/>
                <w:lang w:val="es-BO"/>
              </w:rPr>
              <w:t>arios.</w:t>
            </w:r>
          </w:p>
        </w:tc>
      </w:tr>
    </w:tbl>
    <w:p w14:paraId="795A337B" w14:textId="77777777" w:rsidR="00D776EA" w:rsidRPr="00AD0334" w:rsidRDefault="00D776EA">
      <w:pPr>
        <w:rPr>
          <w:lang w:val="es-BO"/>
        </w:rPr>
      </w:pPr>
    </w:p>
    <w:p w14:paraId="1475DC43" w14:textId="77777777" w:rsidR="00D776EA" w:rsidRPr="00AD0334" w:rsidRDefault="001B658D">
      <w:pPr>
        <w:spacing w:before="120" w:after="160"/>
        <w:rPr>
          <w:lang w:val="es-BO"/>
        </w:rPr>
      </w:pPr>
      <w:r w:rsidRPr="00AD0334">
        <w:rPr>
          <w:b/>
          <w:color w:val="3AAFA9"/>
          <w:sz w:val="28"/>
          <w:lang w:val="es-BO"/>
        </w:rPr>
        <w:t>c) Técnicas de distracción y suplantación</w:t>
      </w:r>
    </w:p>
    <w:p w14:paraId="088FC372" w14:textId="77777777" w:rsidR="00D776EA" w:rsidRPr="00AD0334" w:rsidRDefault="001B658D">
      <w:pPr>
        <w:jc w:val="both"/>
        <w:rPr>
          <w:lang w:val="es-BO"/>
        </w:rPr>
      </w:pPr>
      <w:r w:rsidRPr="00AD0334">
        <w:rPr>
          <w:sz w:val="19"/>
          <w:lang w:val="es-BO"/>
        </w:rPr>
        <w:t>El personaje también usa información parcial, credenciales falsas y vocabulario especializado para desviar la atención y asumir identidades que no le corresponden.</w:t>
      </w:r>
    </w:p>
    <w:tbl>
      <w:tblPr>
        <w:tblW w:w="0" w:type="auto"/>
        <w:jc w:val="center"/>
        <w:tblBorders>
          <w:top w:val="single" w:sz="6" w:space="0" w:color="3AAFA9"/>
          <w:left w:val="single" w:sz="6" w:space="0" w:color="3AAFA9"/>
          <w:bottom w:val="single" w:sz="6" w:space="0" w:color="3AAFA9"/>
          <w:right w:val="single" w:sz="6" w:space="0" w:color="3AAFA9"/>
          <w:insideH w:val="single" w:sz="6" w:space="0" w:color="3AAFA9"/>
          <w:insideV w:val="single" w:sz="6" w:space="0" w:color="3AAFA9"/>
        </w:tblBorders>
        <w:tblLook w:val="04A0" w:firstRow="1" w:lastRow="0" w:firstColumn="1" w:lastColumn="0" w:noHBand="0" w:noVBand="1"/>
      </w:tblPr>
      <w:tblGrid>
        <w:gridCol w:w="10512"/>
      </w:tblGrid>
      <w:tr w:rsidR="00D776EA" w:rsidRPr="00AD0334" w14:paraId="3900A594" w14:textId="77777777">
        <w:trPr>
          <w:jc w:val="center"/>
        </w:trPr>
        <w:tc>
          <w:tcPr>
            <w:tcW w:w="10512" w:type="dxa"/>
            <w:shd w:val="clear" w:color="auto" w:fill="DEF2F1"/>
          </w:tcPr>
          <w:p w14:paraId="0E499C5F" w14:textId="77777777" w:rsidR="00D776EA" w:rsidRPr="00AD0334" w:rsidRDefault="001B658D">
            <w:pPr>
              <w:rPr>
                <w:lang w:val="es-BO"/>
              </w:rPr>
            </w:pPr>
            <w:r w:rsidRPr="00AD0334">
              <w:rPr>
                <w:color w:val="141414"/>
                <w:sz w:val="17"/>
                <w:lang w:val="es-BO"/>
              </w:rPr>
              <w:t xml:space="preserve">• Código de los aviones: descubre el </w:t>
            </w:r>
            <w:r w:rsidRPr="00AD0334">
              <w:rPr>
                <w:color w:val="141414"/>
                <w:sz w:val="17"/>
                <w:lang w:val="es-BO"/>
              </w:rPr>
              <w:t>funcionamiento del pliegue de talones de pago y usa esa información para elaborar identificaciones falsas con recortes y revelado Polaroid.</w:t>
            </w:r>
          </w:p>
        </w:tc>
      </w:tr>
      <w:tr w:rsidR="00D776EA" w:rsidRPr="00AD0334" w14:paraId="0070C187" w14:textId="77777777">
        <w:trPr>
          <w:jc w:val="center"/>
        </w:trPr>
        <w:tc>
          <w:tcPr>
            <w:tcW w:w="10512" w:type="dxa"/>
            <w:shd w:val="clear" w:color="auto" w:fill="FFFFFF"/>
          </w:tcPr>
          <w:p w14:paraId="68DCFA07" w14:textId="77777777" w:rsidR="00D776EA" w:rsidRPr="00AD0334" w:rsidRDefault="001B658D">
            <w:pPr>
              <w:rPr>
                <w:lang w:val="es-BO"/>
              </w:rPr>
            </w:pPr>
            <w:r w:rsidRPr="00AD0334">
              <w:rPr>
                <w:color w:val="141414"/>
                <w:sz w:val="17"/>
                <w:lang w:val="es-BO"/>
              </w:rPr>
              <w:t>• Engaño del agente secreto: cuando el FBI lo acorrala, se hace pasar por agente del Servicio Secreto usando creden</w:t>
            </w:r>
            <w:r w:rsidRPr="00AD0334">
              <w:rPr>
                <w:color w:val="141414"/>
                <w:sz w:val="17"/>
                <w:lang w:val="es-BO"/>
              </w:rPr>
              <w:t xml:space="preserve">ciales falsas y lenguaje técnico para convencer al agente Carl </w:t>
            </w:r>
            <w:proofErr w:type="spellStart"/>
            <w:r w:rsidRPr="00AD0334">
              <w:rPr>
                <w:color w:val="141414"/>
                <w:sz w:val="17"/>
                <w:lang w:val="es-BO"/>
              </w:rPr>
              <w:t>Hanratty</w:t>
            </w:r>
            <w:proofErr w:type="spellEnd"/>
            <w:r w:rsidRPr="00AD0334">
              <w:rPr>
                <w:color w:val="141414"/>
                <w:sz w:val="17"/>
                <w:lang w:val="es-BO"/>
              </w:rPr>
              <w:t>.</w:t>
            </w:r>
          </w:p>
        </w:tc>
      </w:tr>
    </w:tbl>
    <w:p w14:paraId="00BD0980" w14:textId="77777777" w:rsidR="00D776EA" w:rsidRPr="00AD0334" w:rsidRDefault="00D776EA">
      <w:pPr>
        <w:rPr>
          <w:lang w:val="es-BO"/>
        </w:rPr>
      </w:pPr>
    </w:p>
    <w:sectPr w:rsidR="00D776EA" w:rsidRPr="00AD0334" w:rsidSect="00034616">
      <w:headerReference w:type="default" r:id="rId10"/>
      <w:footerReference w:type="default" r:id="rId11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D7DD5" w14:textId="77777777" w:rsidR="001B658D" w:rsidRDefault="001B658D">
      <w:pPr>
        <w:spacing w:after="0" w:line="240" w:lineRule="auto"/>
      </w:pPr>
      <w:r>
        <w:separator/>
      </w:r>
    </w:p>
  </w:endnote>
  <w:endnote w:type="continuationSeparator" w:id="0">
    <w:p w14:paraId="3D591FBF" w14:textId="77777777" w:rsidR="001B658D" w:rsidRDefault="001B6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BE5C" w14:textId="2FAFCE48" w:rsidR="00D776EA" w:rsidRDefault="00D776E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F2573" w14:textId="77777777" w:rsidR="001B658D" w:rsidRDefault="001B658D">
      <w:pPr>
        <w:spacing w:after="0" w:line="240" w:lineRule="auto"/>
      </w:pPr>
      <w:r>
        <w:separator/>
      </w:r>
    </w:p>
  </w:footnote>
  <w:footnote w:type="continuationSeparator" w:id="0">
    <w:p w14:paraId="6D79DF3F" w14:textId="77777777" w:rsidR="001B658D" w:rsidRDefault="001B6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5C7CB" w14:textId="77777777" w:rsidR="00D776EA" w:rsidRDefault="001B658D">
    <w:pPr>
      <w:pStyle w:val="Encabezado"/>
      <w:jc w:val="right"/>
    </w:pPr>
    <w:r>
      <w:rPr>
        <w:color w:val="3AAFA9"/>
        <w:sz w:val="17"/>
      </w:rPr>
      <w:t>SIS-141 | Universidad Autónoma Tomás Frías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58D"/>
    <w:rsid w:val="0029639D"/>
    <w:rsid w:val="00326F90"/>
    <w:rsid w:val="00AA1D8D"/>
    <w:rsid w:val="00AD0334"/>
    <w:rsid w:val="00B47730"/>
    <w:rsid w:val="00CB0664"/>
    <w:rsid w:val="00D776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F8676"/>
  <w14:defaultImageDpi w14:val="300"/>
  <w15:docId w15:val="{EC029027-E0B4-44C5-8681-933E785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A. Soto Machaca</cp:lastModifiedBy>
  <cp:revision>2</cp:revision>
  <dcterms:created xsi:type="dcterms:W3CDTF">2013-12-23T23:15:00Z</dcterms:created>
  <dcterms:modified xsi:type="dcterms:W3CDTF">2026-06-19T19:26:00Z</dcterms:modified>
  <cp:category/>
</cp:coreProperties>
</file>