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086600" cy="9170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p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before="120" w:after="160"/>
        <w:jc w:val="left"/>
      </w:pPr>
      <w:r>
        <w:rPr>
          <w:rFonts w:ascii="Arial" w:hAnsi="Arial"/>
          <w:b/>
          <w:color w:val="1F1F24"/>
          <w:sz w:val="40"/>
        </w:rPr>
        <w:t>Práctica Nº 5: Casos registrados de delitos de ciberseguridad en Bolivia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single" w:sz="4" w:space="0" w:color="C0392B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F9ECE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24"/>
                <w:sz w:val="18"/>
              </w:rPr>
              <w:t>Estudiante: Marco Antonio Soto Machaca</w:t>
            </w:r>
          </w:p>
        </w:tc>
        <w:tc>
          <w:tcPr>
            <w:tcW w:type="dxa" w:w="3504"/>
            <w:shd w:fill="F9ECE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24"/>
                <w:sz w:val="18"/>
              </w:rPr>
              <w:t>Grupo: Nº1</w:t>
            </w:r>
          </w:p>
        </w:tc>
        <w:tc>
          <w:tcPr>
            <w:tcW w:type="dxa" w:w="3504"/>
            <w:shd w:fill="F9ECE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24"/>
                <w:sz w:val="18"/>
              </w:rPr>
              <w:t>Fecha: 04/04/26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  <w:insideH w:val="single" w:sz="8" w:space="0" w:color="C0392B"/>
          <w:insideV w:val="single" w:sz="8" w:space="0" w:color="C0392B"/>
        </w:tblBorders>
      </w:tblPr>
      <w:tblGrid>
        <w:gridCol w:w="10512"/>
      </w:tblGrid>
      <w:tr>
        <w:tc>
          <w:tcPr>
            <w:tcW w:type="dxa" w:w="10512"/>
            <w:shd w:fill="F9ECEA"/>
          </w:tcPr>
          <w:p>
            <w:r>
              <w:rPr>
                <w:rFonts w:ascii="Arial" w:hAnsi="Arial"/>
                <w:b/>
                <w:color w:val="1F1F24"/>
                <w:sz w:val="24"/>
              </w:rPr>
              <w:t>⚠ Respuesta general</w:t>
            </w:r>
          </w:p>
          <w:p>
            <w:pPr>
              <w:jc w:val="both"/>
            </w:pPr>
            <w:r>
              <w:rPr>
                <w:rFonts w:ascii="Arial" w:hAnsi="Arial"/>
                <w:sz w:val="19"/>
              </w:rPr>
              <w:t>La ciberseguridad en Bolivia ha pasado de fraudes financieros básicos a ataques más complejos, incluyendo intrusiones, suplantación de identidad y filtraciones masivas de datos. Esta evolución evidenció la necesidad de fortalecer la prevención, la respuesta institucional y las reformas legales frente a los delitos informáticos.</w:t>
            </w:r>
          </w:p>
        </w:tc>
      </w:tr>
    </w:tbl>
    <w:p/>
    <w:p>
      <w:pPr>
        <w:spacing w:before="120" w:after="160"/>
        <w:jc w:val="left"/>
      </w:pPr>
      <w:r>
        <w:rPr>
          <w:rFonts w:ascii="Arial" w:hAnsi="Arial"/>
          <w:b/>
          <w:color w:val="C0392B"/>
          <w:sz w:val="28"/>
        </w:rPr>
        <w:t>Casos registrados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  <w:insideH w:val="single" w:sz="6" w:space="0" w:color="C0392B"/>
          <w:insideV w:val="single" w:sz="6" w:space="0" w:color="C0392B"/>
        </w:tblBorders>
      </w:tblPr>
      <w:tblGrid>
        <w:gridCol w:w="3504"/>
        <w:gridCol w:w="3504"/>
        <w:gridCol w:w="3504"/>
      </w:tblGrid>
      <w:tr>
        <w:tc>
          <w:tcPr>
            <w:tcW w:type="dxa" w:w="1944"/>
            <w:shd w:fill="1F1F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3024"/>
            <w:shd w:fill="1F1F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4536"/>
            <w:shd w:fill="1F1F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944"/>
            <w:vAlign w:val="center"/>
            <w:shd w:fill="F9ECEA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22 de julio de 2024</w:t>
            </w:r>
          </w:p>
        </w:tc>
        <w:tc>
          <w:tcPr>
            <w:tcW w:type="dxa" w:w="3024"/>
            <w:vAlign w:val="center"/>
            <w:shd w:fill="F9ECEA"/>
          </w:tcPr>
          <w:p>
            <w:r/>
            <w:r>
              <w:rPr>
                <w:rFonts w:ascii="Arial" w:hAnsi="Arial"/>
                <w:b/>
                <w:color w:val="1D1D1D"/>
                <w:sz w:val="15"/>
              </w:rPr>
              <w:t>Venta de base de datos de 12.5 millones de bolivianos</w:t>
            </w:r>
          </w:p>
        </w:tc>
        <w:tc>
          <w:tcPr>
            <w:tcW w:type="dxa" w:w="4536"/>
            <w:vAlign w:val="center"/>
            <w:shd w:fill="F9ECEA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Se reportó en foros de la dark web una supuesta base de datos con información personal de gran parte de la población boliviana, incluyendo nombres y documentos de identidad.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Diciembre 2024 - enero 2025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/>
                <w:color w:val="1D1D1D"/>
                <w:sz w:val="15"/>
              </w:rPr>
              <w:t>Ataques de fuerza bruta a tarjetas bancarias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Clientes de entidades financieras reportaron débitos no autorizados. Los delincuentes usaron sistemas automáticos para probar números de tarjetas y realizar consumos en el exterior.</w:t>
            </w:r>
          </w:p>
        </w:tc>
      </w:tr>
      <w:tr>
        <w:tc>
          <w:tcPr>
            <w:tcW w:type="dxa" w:w="1944"/>
            <w:vAlign w:val="center"/>
            <w:shd w:fill="F9ECEA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Primer trimestre de 2025</w:t>
            </w:r>
          </w:p>
        </w:tc>
        <w:tc>
          <w:tcPr>
            <w:tcW w:type="dxa" w:w="3024"/>
            <w:vAlign w:val="center"/>
            <w:shd w:fill="F9ECEA"/>
          </w:tcPr>
          <w:p>
            <w:r/>
            <w:r>
              <w:rPr>
                <w:rFonts w:ascii="Arial" w:hAnsi="Arial"/>
                <w:b/>
                <w:color w:val="1D1D1D"/>
                <w:sz w:val="15"/>
              </w:rPr>
              <w:t>Incremento de ciberincidentes</w:t>
            </w:r>
          </w:p>
        </w:tc>
        <w:tc>
          <w:tcPr>
            <w:tcW w:type="dxa" w:w="4536"/>
            <w:vAlign w:val="center"/>
            <w:shd w:fill="F9ECEA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El Centro de Gestión de Incidentes Informáticos informó la gestión de 197 ataques, con énfasis en intrusiones y compromiso de información sensible.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4 de septiembre de 2025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/>
                <w:color w:val="1D1D1D"/>
                <w:sz w:val="15"/>
              </w:rPr>
              <w:t>Suplantación de la Policía Boliviana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Se detectó una campaña masiva de correos falsos que se hacían pasar por la Policía para exigir pagos bajo amenaza de prisión.</w:t>
            </w:r>
          </w:p>
        </w:tc>
      </w:tr>
      <w:tr>
        <w:tc>
          <w:tcPr>
            <w:tcW w:type="dxa" w:w="1944"/>
            <w:vAlign w:val="center"/>
            <w:shd w:fill="F9ECEA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23 de octubre de 2025</w:t>
            </w:r>
          </w:p>
        </w:tc>
        <w:tc>
          <w:tcPr>
            <w:tcW w:type="dxa" w:w="3024"/>
            <w:vAlign w:val="center"/>
            <w:shd w:fill="F9ECEA"/>
          </w:tcPr>
          <w:p>
            <w:r/>
            <w:r>
              <w:rPr>
                <w:rFonts w:ascii="Arial" w:hAnsi="Arial"/>
                <w:b/>
                <w:color w:val="1D1D1D"/>
                <w:sz w:val="15"/>
              </w:rPr>
              <w:t>Filtración masiva de datos de la UATF</w:t>
            </w:r>
          </w:p>
        </w:tc>
        <w:tc>
          <w:tcPr>
            <w:tcW w:type="dxa" w:w="4536"/>
            <w:vAlign w:val="center"/>
            <w:shd w:fill="F9ECEA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Se reportó la filtración de datos de estudiantes y postulantes de la Universidad Autónoma Tomás Frías, con registros desde 2004 hasta 2025.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25 de noviembre de 2025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/>
                <w:color w:val="1D1D1D"/>
                <w:sz w:val="15"/>
              </w:rPr>
              <w:t>Venta de datos de la Policía y ciudadanos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rial" w:hAnsi="Arial"/>
                <w:b w:val="0"/>
                <w:color w:val="1D1D1D"/>
                <w:sz w:val="15"/>
              </w:rPr>
              <w:t>Se registraron alertas sobre venta de información operativa y médica de oficiales de la Policía, además de otra base con 10 millones de registros ciudadanos.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864" w:right="792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Diseño académico rediseñado - 2026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C0392B"/>
        <w:sz w:val="17"/>
      </w:rPr>
      <w:t>SIS-141 | Universidad Autónoma Tomás Frías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