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Social payment emozionale</w:t>
      </w:r>
    </w:p>
    <w:p>
      <w:pPr>
        <w:spacing w:after="400"/>
      </w:pPr>
      <w:r>
        <w:rPr>
          <w:i/>
          <w:iCs/>
          <w:color w:val="6B6B66"/>
        </w:rPr>
        <w:t xml:space="preserve">Riepilogo strategico e operativo del progetto</w:t>
      </w:r>
    </w:p>
    <w:p>
      <w:pPr>
        <w:pStyle w:val="Heading1"/>
        <w:spacing w:after="200" w:before="400"/>
      </w:pPr>
      <w:r>
        <w:t xml:space="preserve">1. Il concept</w:t>
      </w:r>
    </w:p>
    <w:p>
      <w:pPr>
        <w:spacing w:after="160"/>
      </w:pPr>
      <w:r>
        <w:t xml:space="preserve">Non un'app di gift card, ma un social payment emozionale: un'app per offrire piccoli momenti reali a distanza (caffè, drink, colazione, aperitivo, "primo giro"), con l'idea centrale "ti penso, anche se non sono lì". Il prodotto comunica il gesto sociale ("Marco ti ha offerto un caffè"), mai il valore monetario o il credito.</w:t>
      </w:r>
    </w:p>
    <w:p>
      <w:pPr>
        <w:pStyle w:val="Heading1"/>
        <w:spacing w:after="200" w:before="400"/>
      </w:pPr>
      <w:r>
        <w:t xml:space="preserve">2. Verdetto di fattibilità</w:t>
      </w:r>
    </w:p>
    <w:p>
      <w:pPr>
        <w:spacing w:after="160"/>
      </w:pPr>
      <w:r>
        <w:t xml:space="preserve">Idea fattibile ma non del tutto nuova: esistono competitor vicini (OpenBar, Talkally, Dion, GYDO) e indiretti (TheFork Gift Card, Satispay Gift Card). La vera opportunità non è "regalare credito", ma rendere il gesto più emozionale, contestuale e immediato. Valutazione complessiva: 6,5/10, con differenze forti tra area tecnica (8/10) e acquisizione locali (5/10).</w:t>
      </w:r>
    </w:p>
    <w:p>
      <w:pPr>
        <w:pStyle w:val="Heading1"/>
        <w:spacing w:after="200" w:before="400"/>
      </w:pPr>
      <w:r>
        <w:t xml:space="preserve">3. Flusso MVP</w:t>
      </w:r>
    </w:p>
    <w:p>
      <w:pPr>
        <w:spacing w:after="160"/>
      </w:pPr>
      <w:r>
        <w:t xml:space="preserve">Una città, 20-30 locali curati, tre prodotti iniziali (caffè, drink, aperitivo). Il locale viene scelto dal mittente al momento dell'invio, non dal destinatario al riscatto — questo semplifica sia l'esperienza utente sia il trattamento fiscale del buono.</w:t>
      </w:r>
    </w:p>
    <w:p>
      <w:pPr>
        <w:spacing w:after="40" w:before="120"/>
      </w:pPr>
      <w:r>
        <w:rPr>
          <w:b/>
          <w:bCs/>
          <w:color w:val="0F6E56"/>
        </w:rPr>
        <w:t xml:space="preserve">1. Mittente sceglie gesto e locale</w:t>
      </w:r>
    </w:p>
    <w:p>
      <w:pPr>
        <w:spacing w:after="160"/>
      </w:pPr>
      <w:r>
        <w:t xml:space="preserve">Es. "un caffè al Bar Centrale", con messaggio personale allegato.</w:t>
      </w:r>
    </w:p>
    <w:p>
      <w:pPr>
        <w:spacing w:after="40" w:before="120"/>
      </w:pPr>
      <w:r>
        <w:rPr>
          <w:b/>
          <w:bCs/>
          <w:color w:val="0F6E56"/>
        </w:rPr>
        <w:t xml:space="preserve">2. Paga con carta</w:t>
      </w:r>
    </w:p>
    <w:p>
      <w:pPr>
        <w:spacing w:after="160"/>
      </w:pPr>
      <w:r>
        <w:t xml:space="preserve">Unico metodo di pagamento: Stripe Connect, incluso Apple Pay / Google Pay.</w:t>
      </w:r>
    </w:p>
    <w:p>
      <w:pPr>
        <w:spacing w:after="40" w:before="120"/>
      </w:pPr>
      <w:r>
        <w:rPr>
          <w:b/>
          <w:bCs/>
          <w:color w:val="0F6E56"/>
        </w:rPr>
        <w:t xml:space="preserve">3. Destinatario riceve il link</w:t>
      </w:r>
    </w:p>
    <w:p>
      <w:pPr>
        <w:spacing w:after="160"/>
      </w:pPr>
      <w:r>
        <w:t xml:space="preserve">Via WhatsApp, SMS o email — già legato al locale scelto dal mittente.</w:t>
      </w:r>
    </w:p>
    <w:p>
      <w:pPr>
        <w:spacing w:after="40" w:before="120"/>
      </w:pPr>
      <w:r>
        <w:rPr>
          <w:b/>
          <w:bCs/>
          <w:color w:val="0F6E56"/>
        </w:rPr>
        <w:t xml:space="preserve">4. Mostra il QR code al locale</w:t>
      </w:r>
    </w:p>
    <w:p>
      <w:pPr>
        <w:spacing w:after="160"/>
      </w:pPr>
      <w:r>
        <w:t xml:space="preserve">Nessuna scelta da fare: il locale è già fissato in partenza.</w:t>
      </w:r>
    </w:p>
    <w:p>
      <w:pPr>
        <w:spacing w:after="40" w:before="120"/>
      </w:pPr>
      <w:r>
        <w:rPr>
          <w:b/>
          <w:bCs/>
          <w:color w:val="0F6E56"/>
        </w:rPr>
        <w:t xml:space="preserve">5. Locale valida e consegna</w:t>
      </w:r>
    </w:p>
    <w:p>
      <w:pPr>
        <w:spacing w:after="160"/>
      </w:pPr>
      <w:r>
        <w:t xml:space="preserve">Scontrino elettronico emesso al momento della consegna del bene.</w:t>
      </w:r>
    </w:p>
    <w:p>
      <w:pPr>
        <w:spacing w:after="40" w:before="120"/>
      </w:pPr>
      <w:r>
        <w:rPr>
          <w:b/>
          <w:bCs/>
          <w:color w:val="0F6E56"/>
        </w:rPr>
        <w:t xml:space="preserve">6. Payout settimanale</w:t>
      </w:r>
    </w:p>
    <w:p>
      <w:pPr>
        <w:spacing w:after="160"/>
      </w:pPr>
      <w:r>
        <w:t xml:space="preserve">Il locale riceve l'importo dovuto, al netto della fee di piattaforma, in automatico via Stripe.</w:t>
      </w:r>
    </w:p>
    <w:p>
      <w:pPr>
        <w:pStyle w:val="Heading1"/>
        <w:spacing w:after="200" w:before="400"/>
      </w:pPr>
      <w:r>
        <w:t xml:space="preserve">4. Pagamenti: perché solo Stripe Connect</w:t>
      </w:r>
    </w:p>
    <w:p>
      <w:pPr>
        <w:spacing w:after="160"/>
      </w:pPr>
      <w:r>
        <w:t xml:space="preserve">Per non complicare l'esperienza utente, l'MVP usa un solo metodo di pagamento: Stripe Connect (carta, Apple Pay, Google Pay). È l'opzione più rapida da integrare in self-serve, con split automatico tra piattaforma e locale e payout settimanali senza intervento manuale.</w:t>
      </w:r>
    </w:p>
    <w:p>
      <w:pPr>
        <w:spacing w:after="160"/>
      </w:pPr>
      <w:r>
        <w:t xml:space="preserve">Alternative valutate e scartate per ora:</w:t>
      </w:r>
    </w:p>
    <w:p>
      <w:pPr>
        <w:pStyle w:val="ListParagraph"/>
        <w:numPr>
          <w:ilvl w:val="0"/>
          <w:numId w:val="2"/>
        </w:numPr>
        <w:spacing w:after="80"/>
      </w:pPr>
      <w:r>
        <w:t xml:space="preserve">Satispay — commissioni migliori sui micro-importi, ma nessun prodotto di split multi-merchant nativo: richiederebbe un secondo flusso di pagamento e doppia gestione fiscale/contabile.</w:t>
      </w:r>
    </w:p>
    <w:p>
      <w:pPr>
        <w:pStyle w:val="ListParagraph"/>
        <w:numPr>
          <w:ilvl w:val="0"/>
          <w:numId w:val="2"/>
        </w:numPr>
        <w:spacing w:after="80"/>
      </w:pPr>
      <w:r>
        <w:t xml:space="preserve">PayPal — commissioni peggiori di Stripe sui micro-importi (2,49% + 0,35 €) e richiede un secondo stack tecnico per il marketplace (PayPal Commerce Platform).</w:t>
      </w:r>
    </w:p>
    <w:p>
      <w:pPr>
        <w:pStyle w:val="ListParagraph"/>
        <w:numPr>
          <w:ilvl w:val="0"/>
          <w:numId w:val="2"/>
        </w:numPr>
        <w:spacing w:after="80"/>
      </w:pPr>
      <w:r>
        <w:t xml:space="preserve">Mangopay / Lemonway — alternative concrete a Stripe Connect per lo split payment, ma con onboarding commerciale più lento; da valutare in una fase successiva se la questione regolatoria diventa centrale.</w:t>
      </w:r>
    </w:p>
    <w:p>
      <w:pPr>
        <w:pStyle w:val="ListParagraph"/>
        <w:numPr>
          <w:ilvl w:val="0"/>
          <w:numId w:val="2"/>
        </w:numPr>
        <w:spacing w:after="80"/>
      </w:pPr>
      <w:r>
        <w:t xml:space="preserve">Adyen for Platforms — tarato su volumi enterprise, sovradimensionato per il pilota.</w:t>
      </w:r>
    </w:p>
    <w:p>
      <w:pPr>
        <w:pStyle w:val="Heading1"/>
        <w:spacing w:after="200" w:before="400"/>
      </w:pPr>
      <w:r>
        <w:t xml:space="preserve">5. Pricing e margini per gesto</w:t>
      </w:r>
    </w:p>
    <w:p>
      <w:pPr>
        <w:spacing w:after="160"/>
      </w:pPr>
      <w:r>
        <w:t xml:space="preserve">Principio guida: il locale riceve sempre il prezzo pieno che farebbe pagare al banco, mai una cifra residua calcolata a percentuale sul totale. Il mittente paga quel prezzo reale più una fee di piattaforma che copre Stripe e il margine.</w:t>
      </w:r>
    </w:p>
    <w:p>
      <w:pPr>
        <w:spacing w:after="160"/>
      </w:pPr>
      <w:r>
        <w:t xml:space="preserve">La fee è strutturata a scaglioni, per tenere il caffè leggero e virale e spostare il margine sui prodotti a ticket più alto, dove la disponibilità a pagare è maggiore: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33"/>
        <w:gridCol w:w="2933"/>
        <w:gridCol w:w="2934"/>
      </w:tblGrid>
      <w:tr>
        <w:tc>
          <w:tcPr>
            <w:tcW w:type="dxa" w:w="2933"/>
            <w:shd w:fill="E1F5EE" w:val="clear"/>
          </w:tcPr>
          <w:p>
            <w:r>
              <w:rPr>
                <w:b/>
                <w:bCs/>
              </w:rPr>
              <w:t xml:space="preserve">Fascia prezzo</w:t>
            </w:r>
          </w:p>
        </w:tc>
        <w:tc>
          <w:tcPr>
            <w:tcW w:type="dxa" w:w="2933"/>
            <w:shd w:fill="E1F5EE" w:val="clear"/>
          </w:tcPr>
          <w:p>
            <w:r>
              <w:rPr>
                <w:b/>
                <w:bCs/>
              </w:rPr>
              <w:t xml:space="preserve">Fee fissa</w:t>
            </w:r>
          </w:p>
        </w:tc>
        <w:tc>
          <w:tcPr>
            <w:tcW w:type="dxa" w:w="2934"/>
            <w:shd w:fill="E1F5EE" w:val="clear"/>
          </w:tcPr>
          <w:p>
            <w:r>
              <w:rPr>
                <w:b/>
                <w:bCs/>
              </w:rPr>
              <w:t xml:space="preserve">Fee percentuale</w:t>
            </w:r>
          </w:p>
        </w:tc>
      </w:tr>
      <w:tr>
        <w:tc>
          <w:tcPr>
            <w:tcW w:type="dxa" w:w="2933"/>
          </w:tcPr>
          <w:p>
            <w:r>
              <w:t xml:space="preserve">Fino a 3 € (caffè)</w:t>
            </w:r>
          </w:p>
        </w:tc>
        <w:tc>
          <w:tcPr>
            <w:tcW w:type="dxa" w:w="2933"/>
          </w:tcPr>
          <w:p>
            <w:r>
              <w:t xml:space="preserve">0,10 €</w:t>
            </w:r>
          </w:p>
        </w:tc>
        <w:tc>
          <w:tcPr>
            <w:tcW w:type="dxa" w:w="2934"/>
          </w:tcPr>
          <w:p>
            <w:r>
              <w:t xml:space="preserve">3%</w:t>
            </w:r>
          </w:p>
        </w:tc>
      </w:tr>
      <w:tr>
        <w:tc>
          <w:tcPr>
            <w:tcW w:type="dxa" w:w="2933"/>
          </w:tcPr>
          <w:p>
            <w:r>
              <w:t xml:space="preserve">3-8 € (birra)</w:t>
            </w:r>
          </w:p>
        </w:tc>
        <w:tc>
          <w:tcPr>
            <w:tcW w:type="dxa" w:w="2933"/>
          </w:tcPr>
          <w:p>
            <w:r>
              <w:t xml:space="preserve">0,25 €</w:t>
            </w:r>
          </w:p>
        </w:tc>
        <w:tc>
          <w:tcPr>
            <w:tcW w:type="dxa" w:w="2934"/>
          </w:tcPr>
          <w:p>
            <w:r>
              <w:t xml:space="preserve">9%</w:t>
            </w:r>
          </w:p>
        </w:tc>
      </w:tr>
      <w:tr>
        <w:tc>
          <w:tcPr>
            <w:tcW w:type="dxa" w:w="2933"/>
          </w:tcPr>
          <w:p>
            <w:r>
              <w:t xml:space="preserve">Oltre 8 € (cocktail)</w:t>
            </w:r>
          </w:p>
        </w:tc>
        <w:tc>
          <w:tcPr>
            <w:tcW w:type="dxa" w:w="2933"/>
          </w:tcPr>
          <w:p>
            <w:r>
              <w:t xml:space="preserve">0,35 €</w:t>
            </w:r>
          </w:p>
        </w:tc>
        <w:tc>
          <w:tcPr>
            <w:tcW w:type="dxa" w:w="2934"/>
          </w:tcPr>
          <w:p>
            <w:r>
              <w:t xml:space="preserve">14%</w:t>
            </w:r>
          </w:p>
        </w:tc>
      </w:tr>
    </w:tbl>
    <w:p>
      <w:pPr>
        <w:spacing w:after="200"/>
      </w:pPr>
    </w:p>
    <w:p>
      <w:pPr>
        <w:spacing w:after="160"/>
      </w:pPr>
      <w:r>
        <w:t xml:space="preserve">Applicando questo schema a tre prodotti di riferimento (caffè, birra, cocktail):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200"/>
      </w:tblGrid>
      <w:tr>
        <w:tc>
          <w:tcPr>
            <w:tcW w:type="dxa" w:w="1900"/>
            <w:shd w:fill="E1F5EE" w:val="clear"/>
          </w:tcPr>
          <w:p>
            <w:r>
              <w:rPr>
                <w:b/>
                <w:bCs/>
              </w:rPr>
              <w:t xml:space="preserve">Prodotto</w:t>
            </w:r>
          </w:p>
        </w:tc>
        <w:tc>
          <w:tcPr>
            <w:tcW w:type="dxa" w:w="1900"/>
            <w:shd w:fill="E1F5EE" w:val="clear"/>
          </w:tcPr>
          <w:p>
            <w:r>
              <w:rPr>
                <w:b/>
                <w:bCs/>
              </w:rPr>
              <w:t xml:space="preserve">Prezzo reale (al locale)</w:t>
            </w:r>
          </w:p>
        </w:tc>
        <w:tc>
          <w:tcPr>
            <w:tcW w:type="dxa" w:w="1900"/>
            <w:shd w:fill="E1F5EE" w:val="clear"/>
          </w:tcPr>
          <w:p>
            <w:r>
              <w:rPr>
                <w:b/>
                <w:bCs/>
              </w:rPr>
              <w:t xml:space="preserve">Margine piattaforma</w:t>
            </w:r>
          </w:p>
        </w:tc>
        <w:tc>
          <w:tcPr>
            <w:tcW w:type="dxa" w:w="1900"/>
            <w:shd w:fill="E1F5EE" w:val="clear"/>
          </w:tcPr>
          <w:p>
            <w:r>
              <w:rPr>
                <w:b/>
                <w:bCs/>
              </w:rPr>
              <w:t xml:space="preserve">Prezzo finale mittente</w:t>
            </w:r>
          </w:p>
        </w:tc>
        <w:tc>
          <w:tcPr>
            <w:tcW w:type="dxa" w:w="1200"/>
            <w:shd w:fill="E1F5EE" w:val="clear"/>
          </w:tcPr>
          <w:p>
            <w:r>
              <w:rPr>
                <w:b/>
                <w:bCs/>
              </w:rPr>
              <w:t xml:space="preserve">Margine %</w:t>
            </w:r>
          </w:p>
        </w:tc>
      </w:tr>
      <w:tr>
        <w:tc>
          <w:tcPr>
            <w:tcW w:type="dxa" w:w="1900"/>
          </w:tcPr>
          <w:p>
            <w:r>
              <w:t xml:space="preserve">Caffè</w:t>
            </w:r>
          </w:p>
        </w:tc>
        <w:tc>
          <w:tcPr>
            <w:tcW w:type="dxa" w:w="1900"/>
          </w:tcPr>
          <w:p>
            <w:r>
              <w:t xml:space="preserve">2,00 €</w:t>
            </w:r>
          </w:p>
        </w:tc>
        <w:tc>
          <w:tcPr>
            <w:tcW w:type="dxa" w:w="1900"/>
          </w:tcPr>
          <w:p>
            <w:r>
              <w:t xml:space="preserve">0,16 €</w:t>
            </w:r>
          </w:p>
        </w:tc>
        <w:tc>
          <w:tcPr>
            <w:tcW w:type="dxa" w:w="1900"/>
          </w:tcPr>
          <w:p>
            <w:r>
              <w:t xml:space="preserve">2,44 €</w:t>
            </w:r>
          </w:p>
        </w:tc>
        <w:tc>
          <w:tcPr>
            <w:tcW w:type="dxa" w:w="1200"/>
          </w:tcPr>
          <w:p>
            <w:r>
              <w:t xml:space="preserve">6,6%</w:t>
            </w:r>
          </w:p>
        </w:tc>
      </w:tr>
      <w:tr>
        <w:tc>
          <w:tcPr>
            <w:tcW w:type="dxa" w:w="1900"/>
          </w:tcPr>
          <w:p>
            <w:r>
              <w:t xml:space="preserve">Birra</w:t>
            </w:r>
          </w:p>
        </w:tc>
        <w:tc>
          <w:tcPr>
            <w:tcW w:type="dxa" w:w="1900"/>
          </w:tcPr>
          <w:p>
            <w:r>
              <w:t xml:space="preserve">6,00 €</w:t>
            </w:r>
          </w:p>
        </w:tc>
        <w:tc>
          <w:tcPr>
            <w:tcW w:type="dxa" w:w="1900"/>
          </w:tcPr>
          <w:p>
            <w:r>
              <w:t xml:space="preserve">0,79 €</w:t>
            </w:r>
          </w:p>
        </w:tc>
        <w:tc>
          <w:tcPr>
            <w:tcW w:type="dxa" w:w="1900"/>
          </w:tcPr>
          <w:p>
            <w:r>
              <w:t xml:space="preserve">7,14 €</w:t>
            </w:r>
          </w:p>
        </w:tc>
        <w:tc>
          <w:tcPr>
            <w:tcW w:type="dxa" w:w="1200"/>
          </w:tcPr>
          <w:p>
            <w:r>
              <w:t xml:space="preserve">11,1%</w:t>
            </w:r>
          </w:p>
        </w:tc>
      </w:tr>
      <w:tr>
        <w:tc>
          <w:tcPr>
            <w:tcW w:type="dxa" w:w="1900"/>
          </w:tcPr>
          <w:p>
            <w:r>
              <w:t xml:space="preserve">Cocktail</w:t>
            </w:r>
          </w:p>
        </w:tc>
        <w:tc>
          <w:tcPr>
            <w:tcW w:type="dxa" w:w="1900"/>
          </w:tcPr>
          <w:p>
            <w:r>
              <w:t xml:space="preserve">10,00 €</w:t>
            </w:r>
          </w:p>
        </w:tc>
        <w:tc>
          <w:tcPr>
            <w:tcW w:type="dxa" w:w="1900"/>
          </w:tcPr>
          <w:p>
            <w:r>
              <w:t xml:space="preserve">1,75 €</w:t>
            </w:r>
          </w:p>
        </w:tc>
        <w:tc>
          <w:tcPr>
            <w:tcW w:type="dxa" w:w="1900"/>
          </w:tcPr>
          <w:p>
            <w:r>
              <w:t xml:space="preserve">12,18 €</w:t>
            </w:r>
          </w:p>
        </w:tc>
        <w:tc>
          <w:tcPr>
            <w:tcW w:type="dxa" w:w="1200"/>
          </w:tcPr>
          <w:p>
            <w:r>
              <w:t xml:space="preserve">14,4%</w:t>
            </w:r>
          </w:p>
        </w:tc>
      </w:tr>
    </w:tbl>
    <w:p>
      <w:pPr>
        <w:spacing w:after="200"/>
      </w:pPr>
    </w:p>
    <w:p>
      <w:pPr>
        <w:spacing w:after="160"/>
      </w:pPr>
      <w:r>
        <w:t xml:space="preserve">Il margine percentuale cresce con il ticket (6,6% sul caffè, 14,4% sul cocktail), mentre il sovrapprezzo percepito dal mittente resta contenuto e simile su tutti i prodotti (19-22% sul prezzo reale). Con un mix realistico (40% caffè, 40% birra, 20% cocktail), il margine medio ponderato per gesto è di circa 0,73 €, sufficiente a coprire i costi fissi minimi del pilota a circa 620-890 gesti/mese.</w:t>
      </w:r>
    </w:p>
    <w:p>
      <w:pPr>
        <w:pStyle w:val="Heading1"/>
        <w:spacing w:after="200" w:before="400"/>
      </w:pPr>
      <w:r>
        <w:t xml:space="preserve">6. Aspetti fiscali</w:t>
      </w:r>
    </w:p>
    <w:p>
      <w:pPr>
        <w:spacing w:after="160"/>
      </w:pPr>
      <w:r>
        <w:t xml:space="preserve">Il prodotto è tecnicamente un buono corrispettivo (art. 6-bis/6-ter/6-quater DPR 633/72). Avendo fissato il locale già al momento dell'invio, il buono si qualifica probabilmente come monouso (luogo, bene e aliquota IVA noti all'emissione): l'IVA è dovuta già al pagamento, con un trattamento contabile più lineare rispetto a un buono multiuso. Il locale emette comunque lo scontrino elettronico tramite il proprio registratore telematico al momento della consegna del bene. Punto da far validare con un commercialista prima del lancio, incluso chi emette il documento fiscale iniziale.</w:t>
      </w:r>
    </w:p>
    <w:p>
      <w:pPr>
        <w:pStyle w:val="Heading1"/>
        <w:spacing w:after="200" w:before="400"/>
      </w:pPr>
      <w:r>
        <w:t xml:space="preserve">7. Onboarding dei locali</w:t>
      </w:r>
    </w:p>
    <w:p>
      <w:pPr>
        <w:spacing w:after="160"/>
      </w:pPr>
      <w:r>
        <w:t xml:space="preserve">Il locale riceve un link di onboarding, inserisce partita IVA, dati dell'attività, documento d'identità del titolare e IBAN. La verifica è automatica (in genere minuti/ore). Non serve alcun hardware nuovo: la validazione dei QR code avviene da smartphone o tablet già in uso, tramite una dashboard minima. Il payout arriva settimanalmente, in automatico.</w:t>
      </w:r>
    </w:p>
    <w:p>
      <w:pPr>
        <w:pStyle w:val="Heading1"/>
        <w:spacing w:after="200" w:before="400"/>
      </w:pPr>
      <w:r>
        <w:t xml:space="preserve">8. Quanto si può guadagnare</w:t>
      </w:r>
    </w:p>
    <w:p>
      <w:pPr>
        <w:spacing w:after="160"/>
      </w:pPr>
      <w:r>
        <w:t xml:space="preserve">Il margine per singolo gesto resta piccolo (pochi centesimi fino a circa 2 € sui prodotti a ticket più alto). Il guadagno reale dipende da scala geografica e mix di prodotto, non dal singolo caffè:</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E1F5EE" w:val="clear"/>
          </w:tcPr>
          <w:p>
            <w:r>
              <w:rPr>
                <w:b/>
                <w:bCs/>
              </w:rPr>
              <w:t xml:space="preserve">Scenario</w:t>
            </w:r>
          </w:p>
        </w:tc>
        <w:tc>
          <w:tcPr>
            <w:tcW w:type="dxa" w:w="4400"/>
            <w:shd w:fill="E1F5EE" w:val="clear"/>
          </w:tcPr>
          <w:p>
            <w:r>
              <w:rPr>
                <w:b/>
                <w:bCs/>
              </w:rPr>
              <w:t xml:space="preserve">Margine lordo mensile stimato</w:t>
            </w:r>
          </w:p>
        </w:tc>
      </w:tr>
      <w:tr>
        <w:tc>
          <w:tcPr>
            <w:tcW w:type="dxa" w:w="4400"/>
          </w:tcPr>
          <w:p>
            <w:r>
              <w:t xml:space="preserve">Pilota (1 città, ~1000 gesti/mese)</w:t>
            </w:r>
          </w:p>
        </w:tc>
        <w:tc>
          <w:tcPr>
            <w:tcW w:type="dxa" w:w="4400"/>
          </w:tcPr>
          <w:p>
            <w:r>
              <w:t xml:space="preserve">~500 €</w:t>
            </w:r>
          </w:p>
        </w:tc>
      </w:tr>
      <w:tr>
        <w:tc>
          <w:tcPr>
            <w:tcW w:type="dxa" w:w="4400"/>
          </w:tcPr>
          <w:p>
            <w:r>
              <w:t xml:space="preserve">Città a regime (~5000 gesti/mese)</w:t>
            </w:r>
          </w:p>
        </w:tc>
        <w:tc>
          <w:tcPr>
            <w:tcW w:type="dxa" w:w="4400"/>
          </w:tcPr>
          <w:p>
            <w:r>
              <w:t xml:space="preserve">~2.500 €</w:t>
            </w:r>
          </w:p>
        </w:tc>
      </w:tr>
      <w:tr>
        <w:tc>
          <w:tcPr>
            <w:tcW w:type="dxa" w:w="4400"/>
          </w:tcPr>
          <w:p>
            <w:r>
              <w:t xml:space="preserve">Scale a 10 città (solo C2C)</w:t>
            </w:r>
          </w:p>
        </w:tc>
        <w:tc>
          <w:tcPr>
            <w:tcW w:type="dxa" w:w="4400"/>
          </w:tcPr>
          <w:p>
            <w:r>
              <w:t xml:space="preserve">~25.000 €</w:t>
            </w:r>
          </w:p>
        </w:tc>
      </w:tr>
      <w:tr>
        <w:tc>
          <w:tcPr>
            <w:tcW w:type="dxa" w:w="4400"/>
          </w:tcPr>
          <w:p>
            <w:r>
              <w:t xml:space="preserve">10 città + mix B2B/corporate</w:t>
            </w:r>
          </w:p>
        </w:tc>
        <w:tc>
          <w:tcPr>
            <w:tcW w:type="dxa" w:w="4400"/>
          </w:tcPr>
          <w:p>
            <w:r>
              <w:t xml:space="preserve">~65.000 €</w:t>
            </w:r>
          </w:p>
        </w:tc>
      </w:tr>
    </w:tbl>
    <w:p>
      <w:pPr>
        <w:spacing w:after="200"/>
      </w:pPr>
    </w:p>
    <w:p>
      <w:pPr>
        <w:spacing w:after="160"/>
      </w:pPr>
      <w:r>
        <w:t xml:space="preserve">Il B2B/corporate gifting è probabilmente la leva più redditizia: ticket più alti, minore sensibilità al prezzo, volumi più prevedibili rispetto al C2C spontaneo.</w:t>
      </w:r>
    </w:p>
    <w:p>
      <w:pPr>
        <w:pStyle w:val="Heading1"/>
        <w:spacing w:after="200" w:before="400"/>
      </w:pPr>
      <w:r>
        <w:t xml:space="preserve">9. Prospetto costi e fasi di crescita</w:t>
      </w:r>
    </w:p>
    <w:p>
      <w:pPr>
        <w:spacing w:after="160"/>
      </w:pPr>
      <w:r>
        <w:t xml:space="preserve">I costi fissi non crescono in modo lineare col volume, ma a scalini: ogni volta che il volume giustifica una nuova assunzione, il costo fisso fa un salto e serve un volume proporzionalmente più alto per tornare in pareggio. Il team attuale di 3 persone copre sviluppo e local ops/BD a costo zero nelle fasi 1 e 2; nella fase 3 la parte di local ops resta quasi gratuita (es. collaborazione a basso costo), mentre nella fase 4 servono assunzioni vere per presidiare fisicamente 10+ città.</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c>
          <w:tcPr>
            <w:tcW w:type="dxa" w:w="2400"/>
            <w:shd w:fill="E1F5EE" w:val="clear"/>
          </w:tcPr>
          <w:p>
            <w:r>
              <w:rPr>
                <w:b/>
                <w:bCs/>
              </w:rPr>
              <w:t xml:space="preserve">Voce</w:t>
            </w:r>
          </w:p>
        </w:tc>
        <w:tc>
          <w:tcPr>
            <w:tcW w:type="dxa" w:w="1600"/>
            <w:shd w:fill="E1F5EE" w:val="clear"/>
          </w:tcPr>
          <w:p>
            <w:r>
              <w:rPr>
                <w:b/>
                <w:bCs/>
              </w:rPr>
              <w:t xml:space="preserve">Fase 1 — Bootstrap</w:t>
            </w:r>
          </w:p>
        </w:tc>
        <w:tc>
          <w:tcPr>
            <w:tcW w:type="dxa" w:w="1600"/>
            <w:shd w:fill="E1F5EE" w:val="clear"/>
          </w:tcPr>
          <w:p>
            <w:r>
              <w:rPr>
                <w:b/>
                <w:bCs/>
              </w:rPr>
              <w:t xml:space="preserve">Fase 2 — Crescita</w:t>
            </w:r>
          </w:p>
        </w:tc>
        <w:tc>
          <w:tcPr>
            <w:tcW w:type="dxa" w:w="1600"/>
            <w:shd w:fill="E1F5EE" w:val="clear"/>
          </w:tcPr>
          <w:p>
            <w:r>
              <w:rPr>
                <w:b/>
                <w:bCs/>
              </w:rPr>
              <w:t xml:space="preserve">Fase 3 — Espansione</w:t>
            </w:r>
          </w:p>
        </w:tc>
        <w:tc>
          <w:tcPr>
            <w:tcW w:type="dxa" w:w="1600"/>
            <w:shd w:fill="E1F5EE" w:val="clear"/>
          </w:tcPr>
          <w:p>
            <w:r>
              <w:rPr>
                <w:b/>
                <w:bCs/>
              </w:rPr>
              <w:t xml:space="preserve">Fase 4 — Scala</w:t>
            </w:r>
          </w:p>
        </w:tc>
      </w:tr>
      <w:tr>
        <w:tc>
          <w:tcPr>
            <w:tcW w:type="dxa" w:w="2400"/>
          </w:tcPr>
          <w:p>
            <w:r>
              <w:t xml:space="preserve">Sviluppo/prodotto</w:t>
            </w:r>
          </w:p>
        </w:tc>
        <w:tc>
          <w:tcPr>
            <w:tcW w:type="dxa" w:w="1600"/>
          </w:tcPr>
          <w:p>
            <w:r>
              <w:t xml:space="preserve">0 € (team interno)</w:t>
            </w:r>
          </w:p>
        </w:tc>
        <w:tc>
          <w:tcPr>
            <w:tcW w:type="dxa" w:w="1600"/>
          </w:tcPr>
          <w:p>
            <w:r>
              <w:t xml:space="preserve">0 € (team interno)</w:t>
            </w:r>
          </w:p>
        </w:tc>
        <w:tc>
          <w:tcPr>
            <w:tcW w:type="dxa" w:w="1600"/>
          </w:tcPr>
          <w:p>
            <w:r>
              <w:t xml:space="preserve">0 € (team interno)</w:t>
            </w:r>
          </w:p>
        </w:tc>
        <w:tc>
          <w:tcPr>
            <w:tcW w:type="dxa" w:w="1600"/>
          </w:tcPr>
          <w:p>
            <w:r>
              <w:t xml:space="preserve">0 € (da monitorare)</w:t>
            </w:r>
          </w:p>
        </w:tc>
      </w:tr>
      <w:tr>
        <w:tc>
          <w:tcPr>
            <w:tcW w:type="dxa" w:w="2400"/>
          </w:tcPr>
          <w:p>
            <w:r>
              <w:t xml:space="preserve">Local ops/BD</w:t>
            </w:r>
          </w:p>
        </w:tc>
        <w:tc>
          <w:tcPr>
            <w:tcW w:type="dxa" w:w="1600"/>
          </w:tcPr>
          <w:p>
            <w:r>
              <w:t xml:space="preserve">0 € (team interno)</w:t>
            </w:r>
          </w:p>
        </w:tc>
        <w:tc>
          <w:tcPr>
            <w:tcW w:type="dxa" w:w="1600"/>
          </w:tcPr>
          <w:p>
            <w:r>
              <w:t xml:space="preserve">0 € (team interno)</w:t>
            </w:r>
          </w:p>
        </w:tc>
        <w:tc>
          <w:tcPr>
            <w:tcW w:type="dxa" w:w="1600"/>
          </w:tcPr>
          <w:p>
            <w:r>
              <w:t xml:space="preserve">~800 € (quasi gratuito)</w:t>
            </w:r>
          </w:p>
        </w:tc>
        <w:tc>
          <w:tcPr>
            <w:tcW w:type="dxa" w:w="1600"/>
          </w:tcPr>
          <w:p>
            <w:r>
              <w:t xml:space="preserve">12.000 € (assunzioni vere)</w:t>
            </w:r>
          </w:p>
        </w:tc>
      </w:tr>
      <w:tr>
        <w:tc>
          <w:tcPr>
            <w:tcW w:type="dxa" w:w="2400"/>
          </w:tcPr>
          <w:p>
            <w:r>
              <w:t xml:space="preserve">Customer support</w:t>
            </w:r>
          </w:p>
        </w:tc>
        <w:tc>
          <w:tcPr>
            <w:tcW w:type="dxa" w:w="1600"/>
          </w:tcPr>
          <w:p>
            <w:r>
              <w:t xml:space="preserve">0 €</w:t>
            </w:r>
          </w:p>
        </w:tc>
        <w:tc>
          <w:tcPr>
            <w:tcW w:type="dxa" w:w="1600"/>
          </w:tcPr>
          <w:p>
            <w:r>
              <w:t xml:space="preserve">0 €</w:t>
            </w:r>
          </w:p>
        </w:tc>
        <w:tc>
          <w:tcPr>
            <w:tcW w:type="dxa" w:w="1600"/>
          </w:tcPr>
          <w:p>
            <w:r>
              <w:t xml:space="preserve">1.000 €</w:t>
            </w:r>
          </w:p>
        </w:tc>
        <w:tc>
          <w:tcPr>
            <w:tcW w:type="dxa" w:w="1600"/>
          </w:tcPr>
          <w:p>
            <w:r>
              <w:t xml:space="preserve">2.500 €</w:t>
            </w:r>
          </w:p>
        </w:tc>
      </w:tr>
      <w:tr>
        <w:tc>
          <w:tcPr>
            <w:tcW w:type="dxa" w:w="2400"/>
          </w:tcPr>
          <w:p>
            <w:r>
              <w:t xml:space="preserve">Commercialista/legale</w:t>
            </w:r>
          </w:p>
        </w:tc>
        <w:tc>
          <w:tcPr>
            <w:tcW w:type="dxa" w:w="1600"/>
          </w:tcPr>
          <w:p>
            <w:r>
              <w:t xml:space="preserve">250 €</w:t>
            </w:r>
          </w:p>
        </w:tc>
        <w:tc>
          <w:tcPr>
            <w:tcW w:type="dxa" w:w="1600"/>
          </w:tcPr>
          <w:p>
            <w:r>
              <w:t xml:space="preserve">300 €</w:t>
            </w:r>
          </w:p>
        </w:tc>
        <w:tc>
          <w:tcPr>
            <w:tcW w:type="dxa" w:w="1600"/>
          </w:tcPr>
          <w:p>
            <w:r>
              <w:t xml:space="preserve">500 €</w:t>
            </w:r>
          </w:p>
        </w:tc>
        <w:tc>
          <w:tcPr>
            <w:tcW w:type="dxa" w:w="1600"/>
          </w:tcPr>
          <w:p>
            <w:r>
              <w:t xml:space="preserve">800 €</w:t>
            </w:r>
          </w:p>
        </w:tc>
      </w:tr>
      <w:tr>
        <w:tc>
          <w:tcPr>
            <w:tcW w:type="dxa" w:w="2400"/>
          </w:tcPr>
          <w:p>
            <w:r>
              <w:t xml:space="preserve">Marketing</w:t>
            </w:r>
          </w:p>
        </w:tc>
        <w:tc>
          <w:tcPr>
            <w:tcW w:type="dxa" w:w="1600"/>
          </w:tcPr>
          <w:p>
            <w:r>
              <w:t xml:space="preserve">300 €</w:t>
            </w:r>
          </w:p>
        </w:tc>
        <w:tc>
          <w:tcPr>
            <w:tcW w:type="dxa" w:w="1600"/>
          </w:tcPr>
          <w:p>
            <w:r>
              <w:t xml:space="preserve">700 €</w:t>
            </w:r>
          </w:p>
        </w:tc>
        <w:tc>
          <w:tcPr>
            <w:tcW w:type="dxa" w:w="1600"/>
          </w:tcPr>
          <w:p>
            <w:r>
              <w:t xml:space="preserve">1.500 €</w:t>
            </w:r>
          </w:p>
        </w:tc>
        <w:tc>
          <w:tcPr>
            <w:tcW w:type="dxa" w:w="1600"/>
          </w:tcPr>
          <w:p>
            <w:r>
              <w:t xml:space="preserve">4.000 €</w:t>
            </w:r>
          </w:p>
        </w:tc>
      </w:tr>
      <w:tr>
        <w:tc>
          <w:tcPr>
            <w:tcW w:type="dxa" w:w="2400"/>
          </w:tcPr>
          <w:p>
            <w:r>
              <w:t xml:space="preserve">Infrastruttura</w:t>
            </w:r>
          </w:p>
        </w:tc>
        <w:tc>
          <w:tcPr>
            <w:tcW w:type="dxa" w:w="1600"/>
          </w:tcPr>
          <w:p>
            <w:r>
              <w:t xml:space="preserve">40 €</w:t>
            </w:r>
          </w:p>
        </w:tc>
        <w:tc>
          <w:tcPr>
            <w:tcW w:type="dxa" w:w="1600"/>
          </w:tcPr>
          <w:p>
            <w:r>
              <w:t xml:space="preserve">200 €</w:t>
            </w:r>
          </w:p>
        </w:tc>
        <w:tc>
          <w:tcPr>
            <w:tcW w:type="dxa" w:w="1600"/>
          </w:tcPr>
          <w:p>
            <w:r>
              <w:t xml:space="preserve">350 €</w:t>
            </w:r>
          </w:p>
        </w:tc>
        <w:tc>
          <w:tcPr>
            <w:tcW w:type="dxa" w:w="1600"/>
          </w:tcPr>
          <w:p>
            <w:r>
              <w:t xml:space="preserve">700 €</w:t>
            </w:r>
          </w:p>
        </w:tc>
      </w:tr>
      <w:tr>
        <w:tc>
          <w:tcPr>
            <w:tcW w:type="dxa" w:w="2400"/>
          </w:tcPr>
          <w:p>
            <w:r>
              <w:rPr>
                <w:b/>
                <w:bCs/>
              </w:rPr>
              <w:t xml:space="preserve">Totale costi fissi/mese</w:t>
            </w:r>
          </w:p>
        </w:tc>
        <w:tc>
          <w:tcPr>
            <w:tcW w:type="dxa" w:w="1600"/>
          </w:tcPr>
          <w:p>
            <w:r>
              <w:rPr>
                <w:b/>
                <w:bCs/>
              </w:rPr>
              <w:t xml:space="preserve">~600 €</w:t>
            </w:r>
          </w:p>
        </w:tc>
        <w:tc>
          <w:tcPr>
            <w:tcW w:type="dxa" w:w="1600"/>
          </w:tcPr>
          <w:p>
            <w:r>
              <w:rPr>
                <w:b/>
                <w:bCs/>
              </w:rPr>
              <w:t xml:space="preserve">~1.200 €</w:t>
            </w:r>
          </w:p>
        </w:tc>
        <w:tc>
          <w:tcPr>
            <w:tcW w:type="dxa" w:w="1600"/>
          </w:tcPr>
          <w:p>
            <w:r>
              <w:rPr>
                <w:b/>
                <w:bCs/>
              </w:rPr>
              <w:t xml:space="preserve">~4.150 €</w:t>
            </w:r>
          </w:p>
        </w:tc>
        <w:tc>
          <w:tcPr>
            <w:tcW w:type="dxa" w:w="1600"/>
          </w:tcPr>
          <w:p>
            <w:r>
              <w:rPr>
                <w:b/>
                <w:bCs/>
              </w:rPr>
              <w:t xml:space="preserve">~20.000 €</w:t>
            </w:r>
          </w:p>
        </w:tc>
      </w:tr>
    </w:tbl>
    <w:p>
      <w:pPr>
        <w:spacing w:after="200"/>
      </w:pPr>
    </w:p>
    <w:p>
      <w:pPr>
        <w:spacing w:after="160"/>
      </w:pPr>
      <w:r>
        <w:t xml:space="preserve">Con il margine medio ponderato di 0,73 € per gesto e un prezzo medio finale di circa 6,27 €, i volumi di pareggio per fase sono: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c>
          <w:tcPr>
            <w:tcW w:type="dxa" w:w="3000"/>
            <w:shd w:fill="E1F5EE" w:val="clear"/>
          </w:tcPr>
          <w:p>
            <w:r>
              <w:rPr>
                <w:b/>
                <w:bCs/>
              </w:rPr>
              <w:t xml:space="preserve">Fase</w:t>
            </w:r>
          </w:p>
        </w:tc>
        <w:tc>
          <w:tcPr>
            <w:tcW w:type="dxa" w:w="2900"/>
            <w:shd w:fill="E1F5EE" w:val="clear"/>
          </w:tcPr>
          <w:p>
            <w:r>
              <w:rPr>
                <w:b/>
                <w:bCs/>
              </w:rPr>
              <w:t xml:space="preserve">Gesti/mese per il pareggio</w:t>
            </w:r>
          </w:p>
        </w:tc>
        <w:tc>
          <w:tcPr>
            <w:tcW w:type="dxa" w:w="2900"/>
            <w:shd w:fill="E1F5EE" w:val="clear"/>
          </w:tcPr>
          <w:p>
            <w:r>
              <w:rPr>
                <w:b/>
                <w:bCs/>
              </w:rPr>
              <w:t xml:space="preserve">GMV mensile equivalente</w:t>
            </w:r>
          </w:p>
        </w:tc>
      </w:tr>
      <w:tr>
        <w:tc>
          <w:tcPr>
            <w:tcW w:type="dxa" w:w="3000"/>
          </w:tcPr>
          <w:p>
            <w:r>
              <w:t xml:space="preserve">1 — Bootstrap</w:t>
            </w:r>
          </w:p>
        </w:tc>
        <w:tc>
          <w:tcPr>
            <w:tcW w:type="dxa" w:w="2900"/>
          </w:tcPr>
          <w:p>
            <w:r>
              <w:t xml:space="preserve">~820</w:t>
            </w:r>
          </w:p>
        </w:tc>
        <w:tc>
          <w:tcPr>
            <w:tcW w:type="dxa" w:w="2900"/>
          </w:tcPr>
          <w:p>
            <w:r>
              <w:t xml:space="preserve">~5.150 €</w:t>
            </w:r>
          </w:p>
        </w:tc>
      </w:tr>
      <w:tr>
        <w:tc>
          <w:tcPr>
            <w:tcW w:type="dxa" w:w="3000"/>
          </w:tcPr>
          <w:p>
            <w:r>
              <w:t xml:space="preserve">2 — Crescita</w:t>
            </w:r>
          </w:p>
        </w:tc>
        <w:tc>
          <w:tcPr>
            <w:tcW w:type="dxa" w:w="2900"/>
          </w:tcPr>
          <w:p>
            <w:r>
              <w:t xml:space="preserve">~1.650</w:t>
            </w:r>
          </w:p>
        </w:tc>
        <w:tc>
          <w:tcPr>
            <w:tcW w:type="dxa" w:w="2900"/>
          </w:tcPr>
          <w:p>
            <w:r>
              <w:t xml:space="preserve">~10.350 €</w:t>
            </w:r>
          </w:p>
        </w:tc>
      </w:tr>
      <w:tr>
        <w:tc>
          <w:tcPr>
            <w:tcW w:type="dxa" w:w="3000"/>
          </w:tcPr>
          <w:p>
            <w:r>
              <w:t xml:space="preserve">3 — Espansione</w:t>
            </w:r>
          </w:p>
        </w:tc>
        <w:tc>
          <w:tcPr>
            <w:tcW w:type="dxa" w:w="2900"/>
          </w:tcPr>
          <w:p>
            <w:r>
              <w:t xml:space="preserve">~5.685</w:t>
            </w:r>
          </w:p>
        </w:tc>
        <w:tc>
          <w:tcPr>
            <w:tcW w:type="dxa" w:w="2900"/>
          </w:tcPr>
          <w:p>
            <w:r>
              <w:t xml:space="preserve">~35.650 €</w:t>
            </w:r>
          </w:p>
        </w:tc>
      </w:tr>
      <w:tr>
        <w:tc>
          <w:tcPr>
            <w:tcW w:type="dxa" w:w="3000"/>
          </w:tcPr>
          <w:p>
            <w:r>
              <w:t xml:space="preserve">4 — Scala</w:t>
            </w:r>
          </w:p>
        </w:tc>
        <w:tc>
          <w:tcPr>
            <w:tcW w:type="dxa" w:w="2900"/>
          </w:tcPr>
          <w:p>
            <w:r>
              <w:t xml:space="preserve">~27.400</w:t>
            </w:r>
          </w:p>
        </w:tc>
        <w:tc>
          <w:tcPr>
            <w:tcW w:type="dxa" w:w="2900"/>
          </w:tcPr>
          <w:p>
            <w:r>
              <w:t xml:space="preserve">~171.800 €</w:t>
            </w:r>
          </w:p>
        </w:tc>
      </w:tr>
    </w:tbl>
    <w:p>
      <w:pPr>
        <w:spacing w:after="200"/>
      </w:pPr>
    </w:p>
    <w:p>
      <w:pPr>
        <w:spacing w:after="160"/>
      </w:pPr>
      <w:r>
        <w:t xml:space="preserve">Il momento di maggior rischio finanziario resta il passaggio alla fase 4, quando la crescita a 10+ città richiede assunzioni vere di local ops che non possono più essere assorbite dal team interno o da collaborazioni a basso costo.</w:t>
      </w:r>
    </w:p>
    <w:p>
      <w:pPr>
        <w:pStyle w:val="Heading2"/>
        <w:spacing w:after="150" w:before="300"/>
      </w:pPr>
      <w:r>
        <w:t xml:space="preserve">9.1 Cosa comprende il local ops/BD</w:t>
      </w:r>
    </w:p>
    <w:p>
      <w:pPr>
        <w:spacing w:after="160"/>
      </w:pPr>
      <w:r>
        <w:t xml:space="preserve">Acquisizione di nuovi locali (una tantum per locale):</w:t>
      </w:r>
    </w:p>
    <w:p>
      <w:pPr>
        <w:pStyle w:val="ListParagraph"/>
        <w:numPr>
          <w:ilvl w:val="0"/>
          <w:numId w:val="2"/>
        </w:numPr>
        <w:spacing w:after="80"/>
      </w:pPr>
      <w:r>
        <w:t xml:space="preserve">Individuare i locali coerenti con il posizionamento del prodotto.</w:t>
      </w:r>
    </w:p>
    <w:p>
      <w:pPr>
        <w:pStyle w:val="ListParagraph"/>
        <w:numPr>
          <w:ilvl w:val="0"/>
          <w:numId w:val="2"/>
        </w:numPr>
        <w:spacing w:after="80"/>
      </w:pPr>
      <w:r>
        <w:t xml:space="preserve">Contatto diretto e presentazione in loco — funziona poco a distanza.</w:t>
      </w:r>
    </w:p>
    <w:p>
      <w:pPr>
        <w:pStyle w:val="ListParagraph"/>
        <w:numPr>
          <w:ilvl w:val="0"/>
          <w:numId w:val="2"/>
        </w:numPr>
        <w:spacing w:after="80"/>
      </w:pPr>
      <w:r>
        <w:t xml:space="preserve">Negoziazione del prezzo reale del prodotto da inserire in app per quel locale.</w:t>
      </w:r>
    </w:p>
    <w:p>
      <w:pPr>
        <w:pStyle w:val="ListParagraph"/>
        <w:numPr>
          <w:ilvl w:val="0"/>
          <w:numId w:val="2"/>
        </w:numPr>
        <w:spacing w:after="80"/>
      </w:pPr>
      <w:r>
        <w:t xml:space="preserve">Supporto nell'onboarding tecnico (Stripe Express, documenti, primo utilizzo del QR).</w:t>
      </w:r>
    </w:p>
    <w:p>
      <w:pPr>
        <w:spacing w:after="160"/>
      </w:pPr>
      <w:r>
        <w:t xml:space="preserve">Gestione continuativa dei locali già attivi (ricorrente):</w:t>
      </w:r>
    </w:p>
    <w:p>
      <w:pPr>
        <w:pStyle w:val="ListParagraph"/>
        <w:numPr>
          <w:ilvl w:val="0"/>
          <w:numId w:val="2"/>
        </w:numPr>
        <w:spacing w:after="80"/>
      </w:pPr>
      <w:r>
        <w:t xml:space="preserve">Supporto su problemi operativi (QR, pagamenti, rimborsi).</w:t>
      </w:r>
    </w:p>
    <w:p>
      <w:pPr>
        <w:pStyle w:val="ListParagraph"/>
        <w:numPr>
          <w:ilvl w:val="0"/>
          <w:numId w:val="2"/>
        </w:numPr>
        <w:spacing w:after="80"/>
      </w:pPr>
      <w:r>
        <w:t xml:space="preserve">Mantenimento della relazione per ridurre l'abbandono dei locali.</w:t>
      </w:r>
    </w:p>
    <w:p>
      <w:pPr>
        <w:pStyle w:val="ListParagraph"/>
        <w:numPr>
          <w:ilvl w:val="0"/>
          <w:numId w:val="2"/>
        </w:numPr>
        <w:spacing w:after="80"/>
      </w:pPr>
      <w:r>
        <w:t xml:space="preserve">Raccolta feedback per migliorare il prodotto.</w:t>
      </w:r>
    </w:p>
    <w:p>
      <w:pPr>
        <w:pStyle w:val="ListParagraph"/>
        <w:numPr>
          <w:ilvl w:val="0"/>
          <w:numId w:val="2"/>
        </w:numPr>
        <w:spacing w:after="80"/>
      </w:pPr>
      <w:r>
        <w:t xml:space="preserve">Gestione di dispute e casi limite (QR duplicati, contestazioni).</w:t>
      </w:r>
    </w:p>
    <w:p>
      <w:pPr>
        <w:spacing w:after="160"/>
      </w:pPr>
      <w:r>
        <w:t xml:space="preserve">È la voce più difficile da automatizzare, perché richiede relazione umana diretta — coerente con la valutazione iniziale che indicava l'acquisizione locali come il punto più debole del progetto (5/10).</w:t>
      </w:r>
    </w:p>
    <w:p>
      <w:pPr>
        <w:pStyle w:val="Heading2"/>
        <w:spacing w:after="150" w:before="300"/>
      </w:pPr>
      <w:r>
        <w:t xml:space="preserve">9.2 Infrastruttura tecnica</w:t>
      </w:r>
    </w:p>
    <w:p>
      <w:pPr>
        <w:spacing w:after="160"/>
      </w:pPr>
      <w:r>
        <w:t xml:space="preserve">Lo stack tecnico necessario resta la voce di costo più piccola e prevedibile di tutto il progetto, anche a piena scala: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E1F5EE" w:val="clear"/>
          </w:tcPr>
          <w:p>
            <w:r>
              <w:rPr>
                <w:b/>
                <w:bCs/>
              </w:rPr>
              <w:t xml:space="preserve">Componente</w:t>
            </w:r>
          </w:p>
        </w:tc>
        <w:tc>
          <w:tcPr>
            <w:tcW w:type="dxa" w:w="4400"/>
            <w:shd w:fill="E1F5EE" w:val="clear"/>
          </w:tcPr>
          <w:p>
            <w:r>
              <w:rPr>
                <w:b/>
                <w:bCs/>
              </w:rPr>
              <w:t xml:space="preserve">Soluzione consigliata</w:t>
            </w:r>
          </w:p>
        </w:tc>
      </w:tr>
      <w:tr>
        <w:tc>
          <w:tcPr>
            <w:tcW w:type="dxa" w:w="4400"/>
          </w:tcPr>
          <w:p>
            <w:r>
              <w:t xml:space="preserve">Database + autenticazione + storage</w:t>
            </w:r>
          </w:p>
        </w:tc>
        <w:tc>
          <w:tcPr>
            <w:tcW w:type="dxa" w:w="4400"/>
          </w:tcPr>
          <w:p>
            <w:r>
              <w:t xml:space="preserve">Supabase (Postgres + Auth + Storage + Edge Functions)</w:t>
            </w:r>
          </w:p>
        </w:tc>
      </w:tr>
      <w:tr>
        <w:tc>
          <w:tcPr>
            <w:tcW w:type="dxa" w:w="4400"/>
          </w:tcPr>
          <w:p>
            <w:r>
              <w:t xml:space="preserve">Hosting web app</w:t>
            </w:r>
          </w:p>
        </w:tc>
        <w:tc>
          <w:tcPr>
            <w:tcW w:type="dxa" w:w="4400"/>
          </w:tcPr>
          <w:p>
            <w:r>
              <w:t xml:space="preserve">Vercel o Netlify</w:t>
            </w:r>
          </w:p>
        </w:tc>
      </w:tr>
      <w:tr>
        <w:tc>
          <w:tcPr>
            <w:tcW w:type="dxa" w:w="4400"/>
          </w:tcPr>
          <w:p>
            <w:r>
              <w:t xml:space="preserve">Generazione QR code</w:t>
            </w:r>
          </w:p>
        </w:tc>
        <w:tc>
          <w:tcPr>
            <w:tcW w:type="dxa" w:w="4400"/>
          </w:tcPr>
          <w:p>
            <w:r>
              <w:t xml:space="preserve">Libreria open-source lato server (costo zero)</w:t>
            </w:r>
          </w:p>
        </w:tc>
      </w:tr>
      <w:tr>
        <w:tc>
          <w:tcPr>
            <w:tcW w:type="dxa" w:w="4400"/>
          </w:tcPr>
          <w:p>
            <w:r>
              <w:t xml:space="preserve">Email transazionali</w:t>
            </w:r>
          </w:p>
        </w:tc>
        <w:tc>
          <w:tcPr>
            <w:tcW w:type="dxa" w:w="4400"/>
          </w:tcPr>
          <w:p>
            <w:r>
              <w:t xml:space="preserve">Amazon SES</w:t>
            </w:r>
          </w:p>
        </w:tc>
      </w:tr>
      <w:tr>
        <w:tc>
          <w:tcPr>
            <w:tcW w:type="dxa" w:w="4400"/>
          </w:tcPr>
          <w:p>
            <w:r>
              <w:t xml:space="preserve">SMS di backup</w:t>
            </w:r>
          </w:p>
        </w:tc>
        <w:tc>
          <w:tcPr>
            <w:tcW w:type="dxa" w:w="4400"/>
          </w:tcPr>
          <w:p>
            <w:r>
              <w:t xml:space="preserve">Twilio</w:t>
            </w:r>
          </w:p>
        </w:tc>
      </w:tr>
      <w:tr>
        <w:tc>
          <w:tcPr>
            <w:tcW w:type="dxa" w:w="4400"/>
          </w:tcPr>
          <w:p>
            <w:r>
              <w:t xml:space="preserve">Monitoraggio errori</w:t>
            </w:r>
          </w:p>
        </w:tc>
        <w:tc>
          <w:tcPr>
            <w:tcW w:type="dxa" w:w="4400"/>
          </w:tcPr>
          <w:p>
            <w:r>
              <w:t xml:space="preserve">Sentry</w:t>
            </w:r>
          </w:p>
        </w:tc>
      </w:tr>
      <w:tr>
        <w:tc>
          <w:tcPr>
            <w:tcW w:type="dxa" w:w="4400"/>
          </w:tcPr>
          <w:p>
            <w:r>
              <w:t xml:space="preserve">Analytics prodotto</w:t>
            </w:r>
          </w:p>
        </w:tc>
        <w:tc>
          <w:tcPr>
            <w:tcW w:type="dxa" w:w="4400"/>
          </w:tcPr>
          <w:p>
            <w:r>
              <w:t xml:space="preserve">PostHog</w:t>
            </w:r>
          </w:p>
        </w:tc>
      </w:tr>
    </w:tbl>
    <w:p>
      <w:pPr>
        <w:pStyle w:val="Heading1"/>
        <w:spacing w:after="200" w:before="400"/>
      </w:pPr>
      <w:r>
        <w:t xml:space="preserve">10. Rischi principali e mitigazioni</w:t>
      </w:r>
    </w:p>
    <w:p>
      <w:pPr>
        <w:spacing w:after="20" w:before="100"/>
      </w:pPr>
      <w:r>
        <w:rPr>
          <w:b/>
          <w:bCs/>
        </w:rPr>
        <w:t xml:space="preserve">Idea carina ma poco usata</w:t>
      </w:r>
    </w:p>
    <w:p>
      <w:pPr>
        <w:spacing w:after="160"/>
      </w:pPr>
      <w:r>
        <w:t xml:space="preserve">Validare con comportamento reale (pagamenti spontanei), non con sondaggi d'opinione.</w:t>
      </w:r>
    </w:p>
    <w:p>
      <w:pPr>
        <w:spacing w:after="20" w:before="100"/>
      </w:pPr>
      <w:r>
        <w:rPr>
          <w:b/>
          <w:bCs/>
        </w:rPr>
        <w:t xml:space="preserve">Margini bassi sui micro-pagamenti</w:t>
      </w:r>
    </w:p>
    <w:p>
      <w:pPr>
        <w:spacing w:after="160"/>
      </w:pPr>
      <w:r>
        <w:t xml:space="preserve">Sovrapprezzo esplicito sul caffè, bundle, prodotti a ticket più alto come fonte di margine.</w:t>
      </w:r>
    </w:p>
    <w:p>
      <w:pPr>
        <w:spacing w:after="20" w:before="100"/>
      </w:pPr>
      <w:r>
        <w:rPr>
          <w:b/>
          <w:bCs/>
        </w:rPr>
        <w:t xml:space="preserve">Acquisizione locali (chicken-and-egg)</w:t>
      </w:r>
    </w:p>
    <w:p>
      <w:pPr>
        <w:spacing w:after="160"/>
      </w:pPr>
      <w:r>
        <w:t xml:space="preserve">Partire con 20-30 locali curati in una sola città, onboarding Stripe rapido e senza hardware.</w:t>
      </w:r>
    </w:p>
    <w:p>
      <w:pPr>
        <w:spacing w:after="20" w:before="100"/>
      </w:pPr>
      <w:r>
        <w:rPr>
          <w:b/>
          <w:bCs/>
        </w:rPr>
        <w:t xml:space="preserve">Storni e frodi sulle carte</w:t>
      </w:r>
    </w:p>
    <w:p>
      <w:pPr>
        <w:spacing w:after="160"/>
      </w:pPr>
      <w:r>
        <w:t xml:space="preserve">Limiti di importo, controlli antifrode, monitoraggio scenario da 0,2-0,5% del transato nel pilota.</w:t>
      </w:r>
    </w:p>
    <w:p>
      <w:pPr>
        <w:spacing w:after="20" w:before="100"/>
      </w:pPr>
      <w:r>
        <w:rPr>
          <w:b/>
          <w:bCs/>
        </w:rPr>
        <w:t xml:space="preserve">Complessità fiscale/regolatoria</w:t>
      </w:r>
    </w:p>
    <w:p>
      <w:pPr>
        <w:spacing w:after="160"/>
      </w:pPr>
      <w:r>
        <w:t xml:space="preserve">Struttura come buono corrispettivo (monouso, dato che locale scelto dal mittente); consulenza di un commercialista prima del lancio.</w:t>
      </w:r>
    </w:p>
    <w:p>
      <w:pPr>
        <w:spacing w:after="20" w:before="100"/>
      </w:pPr>
      <w:r>
        <w:rPr>
          <w:b/>
          <w:bCs/>
        </w:rPr>
        <w:t xml:space="preserve">Effetto "gift card"</w:t>
      </w:r>
    </w:p>
    <w:p>
      <w:pPr>
        <w:spacing w:after="160"/>
      </w:pPr>
      <w:r>
        <w:t xml:space="preserve">Comunicazione centrata sul gesto e sul messaggio personale, mai su importi o crediti.</w:t>
      </w:r>
    </w:p>
    <w:p>
      <w:pPr>
        <w:pStyle w:val="Heading1"/>
        <w:spacing w:after="200" w:before="400"/>
      </w:pPr>
      <w:r>
        <w:t xml:space="preserve">11. Prossimi passi</w:t>
      </w:r>
    </w:p>
    <w:p>
      <w:pPr>
        <w:pStyle w:val="ListParagraph"/>
        <w:numPr>
          <w:ilvl w:val="0"/>
          <w:numId w:val="2"/>
        </w:numPr>
        <w:spacing w:after="80"/>
      </w:pPr>
      <w:r>
        <w:t xml:space="preserve">Definire città pilota e selezionare 20-30 locali target.</w:t>
      </w:r>
    </w:p>
    <w:p>
      <w:pPr>
        <w:pStyle w:val="ListParagraph"/>
        <w:numPr>
          <w:ilvl w:val="0"/>
          <w:numId w:val="2"/>
        </w:numPr>
        <w:spacing w:after="80"/>
      </w:pPr>
      <w:r>
        <w:t xml:space="preserve">Costruire web app mobile-first con flusso a locale fisso scelto dal mittente.</w:t>
      </w:r>
    </w:p>
    <w:p>
      <w:pPr>
        <w:pStyle w:val="ListParagraph"/>
        <w:numPr>
          <w:ilvl w:val="0"/>
          <w:numId w:val="2"/>
        </w:numPr>
        <w:spacing w:after="80"/>
      </w:pPr>
      <w:r>
        <w:t xml:space="preserve">Integrare Stripe Connect (Express accounts, destination charges).</w:t>
      </w:r>
    </w:p>
    <w:p>
      <w:pPr>
        <w:pStyle w:val="ListParagraph"/>
        <w:numPr>
          <w:ilvl w:val="0"/>
          <w:numId w:val="2"/>
        </w:numPr>
        <w:spacing w:after="80"/>
      </w:pPr>
      <w:r>
        <w:t xml:space="preserve">Definire con un commercialista il trattamento IVA/scontrino per i buoni corrispettivo.</w:t>
      </w:r>
    </w:p>
    <w:p>
      <w:pPr>
        <w:pStyle w:val="ListParagraph"/>
        <w:numPr>
          <w:ilvl w:val="0"/>
          <w:numId w:val="2"/>
        </w:numPr>
        <w:spacing w:after="80"/>
      </w:pPr>
      <w:r>
        <w:t xml:space="preserve">Lanciare il pilota e misurare: percentuale di riscatto, secondo acquisto entro 30 giorni, ticket medio, disponibilità dei locali a continuare.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2026-09-02T15:16:19.882Z</dcterms:created>
  <dcterms:modified xsi:type="dcterms:W3CDTF">2026-09-02T15:16:19.895Z</dcterms:modified>
</cp:coreProperties>
</file>

<file path=docProps/custom.xml><?xml version="1.0" encoding="utf-8"?>
<Properties xmlns="http://schemas.openxmlformats.org/officeDocument/2006/custom-properties" xmlns:vt="http://schemas.openxmlformats.org/officeDocument/2006/docPropsVTypes"/>
</file>