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834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bookmarkStart w:id="0" w:name="_GoBack"/>
      <w:bookmarkEnd w:id="0"/>
      <w:r>
        <w:rPr>
          <w:rFonts w:hint="eastAsia" w:eastAsia="SimSun"/>
          <w:b w:val="0"/>
          <w:bCs w:val="0"/>
          <w:lang w:val="en-US" w:eastAsia="zh-CN"/>
        </w:rPr>
        <w:t># 海澜之家（600398）深度评估框架 V2.0</w:t>
      </w:r>
    </w:p>
    <w:p w14:paraId="68EAAD2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高股息·波段价值·风险检验 三位一体</w:t>
      </w:r>
    </w:p>
    <w:p w14:paraId="049FBE1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DC4F9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A46F5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7C433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【V2.0 相对 V1.0 的核心改动说明】</w:t>
      </w:r>
    </w:p>
    <w:p w14:paraId="597F2B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29F0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改动项 | V1.0 | V2.0 | 改动理由 |</w:t>
      </w:r>
    </w:p>
    <w:p w14:paraId="4AB7DA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327E2C3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**交叉计分** | FCF覆盖在Ⅰ和Ⅱ各评一轮；股息率分位在Ⅰ和Ⅳ各评一轮 | FCF安全性全部归Ⅱ；股息率估值全部归Ⅳ；Ⅰ纯粹聚焦分红历史记录与政策承诺 | 同一数据点被两个模块打分，实际权重被隐性放大，扭曲总分 |</w:t>
      </w:r>
    </w:p>
    <w:p w14:paraId="747B90F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**权重再平衡** | Ⅲ基本面稳定性15%；Ⅳ估值波段20% | Ⅲ提升至20%；Ⅳ降至15% | 基本面稳定是分红可持续的前提（生存问题），估值波段是择时问题，前者应更重 |</w:t>
      </w:r>
    </w:p>
    <w:p w14:paraId="392C6F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**DPS CAGR评分标准** | &gt;10%才满分 | &gt;5%即满分 | 框架自身诊断"EPS无趋势性增长"，DPS CAGR持续&gt;10%不现实，标准与标的矛盾 |</w:t>
      </w:r>
    </w:p>
    <w:p w14:paraId="31A125F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**新增同行横向比对** | 无 | Ⅳ-9模块，与雅戈尔/报喜鸟/森马等横向对比 | 估值是贵是便宜不能只跟自己历史比 |</w:t>
      </w:r>
    </w:p>
    <w:p w14:paraId="53F30F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**新增税后实际收益** | 无 | Ⅶ-5模块，计算不同持股周期的税后综合回报 | 波段策略触发高分红税率，与高股息逻辑冲突，必须量化 |</w:t>
      </w:r>
    </w:p>
    <w:p w14:paraId="57DA324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**新增多品牌定性评估** | Ⅵ仅有定量追踪 | Ⅵ-5新增多品牌/新业务资本配置效果定性判断 | 海澜多品牌扩张是否烧钱需要定性结论 |</w:t>
      </w:r>
    </w:p>
    <w:p w14:paraId="16D774A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**新增估值泡沫红旗** | 红旗系统仅覆盖基本面和治理 | 新增估值红旗（股息率&lt;2.5%、PE&gt;90%分位等） | 波段股估值过热本身就是红旗 |</w:t>
      </w:r>
    </w:p>
    <w:p w14:paraId="6D38AC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**时间轴更新** | 2025为预估(E) | 2016-2025全部为实际数据；2026(E)为预估；最新季度为2026Q1 | 当前已是2026年6月，2025年报已披露 |</w:t>
      </w:r>
    </w:p>
    <w:p w14:paraId="57FCC8A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7E4CDF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C1B00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BDFF4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【前置信息】</w:t>
      </w:r>
    </w:p>
    <w:p w14:paraId="04868B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445AAE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项目 | 内容 |</w:t>
      </w:r>
    </w:p>
    <w:p w14:paraId="41510E0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212028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标的名称 | 海澜之家 |</w:t>
      </w:r>
    </w:p>
    <w:p w14:paraId="6EAA486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股票代码 | 600398.SH |</w:t>
      </w:r>
    </w:p>
    <w:p w14:paraId="26299E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所属行业 | 服装家纺（申万二级：服装） |</w:t>
      </w:r>
    </w:p>
    <w:p w14:paraId="70C61CD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分析日期 | 2026年___月___日 |</w:t>
      </w:r>
    </w:p>
    <w:p w14:paraId="0ED6A78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当前股价 | （填入当日收盘价） |</w:t>
      </w:r>
    </w:p>
    <w:p w14:paraId="42443E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货币单位 | 人民币（CNY） |</w:t>
      </w:r>
    </w:p>
    <w:p w14:paraId="53D7DA2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总市值 | （填入） |</w:t>
      </w:r>
    </w:p>
    <w:p w14:paraId="1E76D2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企业价值（EV） | （填入） |</w:t>
      </w:r>
    </w:p>
    <w:p w14:paraId="725423F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52周高点/低点 | / |</w:t>
      </w:r>
    </w:p>
    <w:p w14:paraId="6194C4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上市时间 | 2014年借壳上市 |</w:t>
      </w:r>
    </w:p>
    <w:p w14:paraId="024459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生命周期阶段 | **成熟期** |</w:t>
      </w:r>
    </w:p>
    <w:p w14:paraId="24D203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标的属性定性 | **分红为主，兼顾波段价值** |</w:t>
      </w:r>
    </w:p>
    <w:p w14:paraId="6543C06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分析员 | |</w:t>
      </w:r>
    </w:p>
    <w:p w14:paraId="1A5634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0CAD0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5A4DA6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76FF41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框架总览与权重设计（V2.0）</w:t>
      </w:r>
    </w:p>
    <w:p w14:paraId="0CE5C66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99674B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**设计逻辑变更说明**：</w:t>
      </w:r>
    </w:p>
    <w:p w14:paraId="0324944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- Ⅰ模块去除FCF派息率和股息率分位评分（分别移至Ⅱ和Ⅳ），纯粹聚焦分红历史记录与政策定性</w:t>
      </w:r>
    </w:p>
    <w:p w14:paraId="761812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- Ⅲ基本面稳定性权重从15%提升至20%（基本面恶化直接摧毁分红安全垫）</w:t>
      </w:r>
    </w:p>
    <w:p w14:paraId="1C27ED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- Ⅳ估值波段权重从20%降至15%（择时重要但不如生存重要）</w:t>
      </w:r>
    </w:p>
    <w:p w14:paraId="26C278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- Ⅵ权重从5%提升至7%（新增多品牌资本配置定性评估）</w:t>
      </w:r>
    </w:p>
    <w:p w14:paraId="3D682EF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- Ⅶ权重从5%提升至8%（新增税后收益计算，波段策略的可执行性更关键）</w:t>
      </w:r>
    </w:p>
    <w:p w14:paraId="575DEC8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9C72A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模块 | 模块内容 | 满分 | 权重 | 加权满分 |</w:t>
      </w:r>
    </w:p>
    <w:p w14:paraId="4F51A64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|---|---|---:|---:|---:|</w:t>
      </w:r>
    </w:p>
    <w:p w14:paraId="0DFE1A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 | 分红历史、政策与可持续性定性 | 70 | 20% | 20 |</w:t>
      </w:r>
    </w:p>
    <w:p w14:paraId="1684C3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 | 分红安全垫（FCF/资产负债表/存货检验） | 100 | 20% | 20 |</w:t>
      </w:r>
    </w:p>
    <w:p w14:paraId="1B6361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 | 基本面稳定性（营收/利润/利润率/利润质量） | 80 | 20% | 20 |</w:t>
      </w:r>
    </w:p>
    <w:p w14:paraId="520444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 | 估值波段位置（PE/PB/股息率/EV-EBITDA/同行比对） | 90 | 15% | 15 |</w:t>
      </w:r>
    </w:p>
    <w:p w14:paraId="79B382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 | 海澜特殊风险因子（存货/加盟/品牌/治理） | 60 | 10% | 10 |</w:t>
      </w:r>
    </w:p>
    <w:p w14:paraId="1667F17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 | 资本配置与股东回报效率 | 50 | 7% | 7 |</w:t>
      </w:r>
    </w:p>
    <w:p w14:paraId="4AE88CB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 | 波段择时信号、催化剂与税后收益 | 50 | 8% | 8 |</w:t>
      </w:r>
    </w:p>
    <w:p w14:paraId="3C1FF0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**合计** | | **500** | **100%** | **100** |</w:t>
      </w:r>
    </w:p>
    <w:p w14:paraId="7EEEA9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4FD84D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85E79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69B64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79B57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234F1C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模块Ⅰ：分红历史、政策与可持续性定性（满分70分）</w:t>
      </w:r>
    </w:p>
    <w:p w14:paraId="1A739AC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A786A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**V2.0定位**：本模块仅评估分红的"历史成绩单"和"政策可信度"。FCF安全性、股息率估值分位已分别移至Ⅱ和Ⅳ模块，不在此重复计分。</w:t>
      </w:r>
    </w:p>
    <w:p w14:paraId="4B49134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6F8724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7E3DB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08BD1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Ⅰ-1 分红全历史记录（10年）</w:t>
      </w:r>
    </w:p>
    <w:p w14:paraId="0EA9424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D52F04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年度分红核心数据</w:t>
      </w:r>
    </w:p>
    <w:p w14:paraId="62E60A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3E117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407FD9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35ED349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每股分红（DPS，元） | | | | | | | | | | |</w:t>
      </w:r>
    </w:p>
    <w:p w14:paraId="39CC49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YoY增速（%） | — | | | | | | | | | |</w:t>
      </w:r>
    </w:p>
    <w:p w14:paraId="0F641A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是否削减/暂停 | | | | | | | | | | |</w:t>
      </w:r>
    </w:p>
    <w:p w14:paraId="5A10BC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股息率（@年末股价，%） | | | | | | | | | | |</w:t>
      </w:r>
    </w:p>
    <w:p w14:paraId="0F812B4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EPS派息率（DPS/EPS，%） | | | | | | | | | | |</w:t>
      </w:r>
    </w:p>
    <w:p w14:paraId="75A7AB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特别股息/中期分红（若有） | | | | | | | | | | |</w:t>
      </w:r>
    </w:p>
    <w:p w14:paraId="5B6F7FA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5ECA4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分红统计汇总</w:t>
      </w:r>
    </w:p>
    <w:p w14:paraId="0F0D79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DAFB7B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统计项 | 数值 | 备注 |</w:t>
      </w:r>
    </w:p>
    <w:p w14:paraId="18CA85D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706B321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连续分红年数 | | 自借壳上市以来 |</w:t>
      </w:r>
    </w:p>
    <w:p w14:paraId="6D5CBFF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连续增长年数 | | |</w:t>
      </w:r>
    </w:p>
    <w:p w14:paraId="2F2F83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10年DPS CAGR | | |</w:t>
      </w:r>
    </w:p>
    <w:p w14:paraId="001F07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5年DPS CAGR | | |</w:t>
      </w:r>
    </w:p>
    <w:p w14:paraId="735FE5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3年DPS CAGR | | |</w:t>
      </w:r>
    </w:p>
    <w:p w14:paraId="07DB7D4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曾否削减分红 | | 2020年是否削减？ |</w:t>
      </w:r>
    </w:p>
    <w:p w14:paraId="1A805D3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削减原因（若有） | | |</w:t>
      </w:r>
    </w:p>
    <w:p w14:paraId="35FEFF8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10年累计分红总额（亿元） | | |</w:t>
      </w:r>
    </w:p>
    <w:p w14:paraId="13E27F9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10年累计分红/10年累计净利润（%） | | |</w:t>
      </w:r>
    </w:p>
    <w:p w14:paraId="6291D2A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14C5A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6B9B4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2B490B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Ⅰ-2 派息率水平分析（10年）</w:t>
      </w:r>
    </w:p>
    <w:p w14:paraId="2C2D23F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A7CD56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年度EPS派息率追踪</w:t>
      </w:r>
    </w:p>
    <w:p w14:paraId="749A1B2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7FE066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19557F4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175AD60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EPS派息率（%） | | | | | | | | | | |</w:t>
      </w:r>
    </w:p>
    <w:p w14:paraId="552310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1095C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派息率分析结论</w:t>
      </w:r>
    </w:p>
    <w:p w14:paraId="6C0A202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8459E4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结论 | 说明 |</w:t>
      </w:r>
    </w:p>
    <w:p w14:paraId="123BE0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19D81A2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派息率整体水平 | 低/适中/高/过高 | 海澜历史通常60-80%，2023年飙至91% |</w:t>
      </w:r>
    </w:p>
    <w:p w14:paraId="0BD44C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派息率趋势 | 上升/稳定/下降 | |</w:t>
      </w:r>
    </w:p>
    <w:p w14:paraId="01375F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新国九条后派息率是否提升 | 是 / 否 | A股分红政策变化影响 |</w:t>
      </w:r>
    </w:p>
    <w:p w14:paraId="276DAC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A7AF0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0AD22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16805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Ⅰ-3 分红与无风险利率/类固收对比（快照）</w:t>
      </w:r>
    </w:p>
    <w:p w14:paraId="5B715C0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82B10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注意：此处仅做横向对比展示，不重复计分（股息率分位评分在Ⅳ模块）</w:t>
      </w:r>
    </w:p>
    <w:p w14:paraId="2891F32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DDE57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对比项 | 当前值 | 说明 |</w:t>
      </w:r>
    </w:p>
    <w:p w14:paraId="03875C2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</w:t>
      </w:r>
    </w:p>
    <w:p w14:paraId="6D2C67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海澜股息率（TTM） | | |</w:t>
      </w:r>
    </w:p>
    <w:p w14:paraId="5F15285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10年期国债收益率 | | |</w:t>
      </w:r>
    </w:p>
    <w:p w14:paraId="6A4C44A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股息率超额（vs国债） | | |</w:t>
      </w:r>
    </w:p>
    <w:p w14:paraId="0B2C03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vs 银行理财（约2%） | | |</w:t>
      </w:r>
    </w:p>
    <w:p w14:paraId="79AF096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vs 高股息ETF平均股息率 | | |</w:t>
      </w:r>
    </w:p>
    <w:p w14:paraId="5340E91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vs 同行业平均股息率 | | |</w:t>
      </w:r>
    </w:p>
    <w:p w14:paraId="415EFDC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C9873D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D27DA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4652C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Ⅰ-4 分红政策与管理层承诺</w:t>
      </w:r>
    </w:p>
    <w:p w14:paraId="29941AA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1B241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内容 | 可信度 |</w:t>
      </w:r>
    </w:p>
    <w:p w14:paraId="533D45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457964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公司章程/公告中的分红政策 | | 高/中/低 |</w:t>
      </w:r>
    </w:p>
    <w:p w14:paraId="64E09DC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管理层公开表态 | | |</w:t>
      </w:r>
    </w:p>
    <w:p w14:paraId="7808BC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控股股东（海澜集团）是否依赖上市公司分红 | | ⚠️关键 |</w:t>
      </w:r>
    </w:p>
    <w:p w14:paraId="381C464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控股股东持股比例 | | |</w:t>
      </w:r>
    </w:p>
    <w:p w14:paraId="3B1890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控股股东质押比例 | | 质押高则分红压力大→分红刚性强但过度分红风险也高 |</w:t>
      </w:r>
    </w:p>
    <w:p w14:paraId="28F79E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新国九条对其分红的影响 | | |</w:t>
      </w:r>
    </w:p>
    <w:p w14:paraId="5D6E729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历史履约记录（承诺vs实际） | | |</w:t>
      </w:r>
    </w:p>
    <w:p w14:paraId="6E452F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是否有中期分红机制 | | 2024年开始中期分红 |</w:t>
      </w:r>
    </w:p>
    <w:p w14:paraId="05B786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1955C5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B9C97E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BBE1CB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Ⅰ 模块评分（70分）</w:t>
      </w:r>
    </w:p>
    <w:p w14:paraId="6DF4C15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05AD5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13CC0CD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0A650C3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Ⅰ-1a 连续分红年数 | 8 | ≥10年=8；7-9年=6；5-6年=4；&lt;5年=2 | | |</w:t>
      </w:r>
    </w:p>
    <w:p w14:paraId="5D86A3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Ⅰ-1b 连续增长年数 | 8 | ≥8年=8；5-7年=6；3-4年=4；&lt;3年=2；有削减=-2 | | |</w:t>
      </w:r>
    </w:p>
    <w:p w14:paraId="41A91C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Ⅰ-1c DPS CAGR（5年） | 8 | &gt;5%=8；3-5%=6；1-3%=4；0-1%=2；负数=0 | | V2.0下调门槛，适配成熟期 |</w:t>
      </w:r>
    </w:p>
    <w:p w14:paraId="6D62999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Ⅰ-1d 10年累计分红/累计净利润 | 8 | &gt;60%=8；50-60%=6；40-50%=4；30-40%=2；&lt;30%=0 | | |</w:t>
      </w:r>
    </w:p>
    <w:p w14:paraId="12B480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Ⅰ-2a EPS派息率合理性 | 10 | 50-70%=10（海澜最佳区间）；70-80%=7；40-50%=7；80-90%=4；&gt;90%=2；&lt;40%=2 | | V2.0：&gt;90%单独给低分，匹配2023年91%的风险信号 |</w:t>
      </w:r>
    </w:p>
    <w:p w14:paraId="5904C6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Ⅰ-2b 派息率稳定性（10年标准差） | 8 | 标准差&lt;10pct=8；10-15pct=6；15-20pct=4；&gt;20pct=2 | | V2.0新增：波动大说明分红可预测性差 |</w:t>
      </w:r>
    </w:p>
    <w:p w14:paraId="6ECC18B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Ⅰ-4a 分红政策明确性 | 10 | 章程明确+有中期分红机制+历史履约好=10；章程明确=7；不明确=3 | | |</w:t>
      </w:r>
    </w:p>
    <w:p w14:paraId="487DE14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Ⅰ-4b 控股股东分红依赖度 | 10 | 依赖度高且质押合理（分红刚性强、过度风险低）=10；依赖度高但质押高（刚性强但过度风险高）=5；依赖度低=3 | | 双刃剑评估 |</w:t>
      </w:r>
    </w:p>
    <w:p w14:paraId="1A79140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**Ⅰ模块小计** | **70** | | | |</w:t>
      </w:r>
    </w:p>
    <w:p w14:paraId="1BC75C5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2D4AC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768F9E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F789DD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17CD39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2244B0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159004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6560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模块Ⅱ：分红安全垫——FCF、资产负债表与存货检验（满分100分）</w:t>
      </w:r>
    </w:p>
    <w:p w14:paraId="04EEA7F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2F087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**V2.0定位**：本模块承接原Ⅰ模块中FCF相关评分+原Ⅱ模块全部内容，成为分红安全性的唯一评分模块。满分从80提升至100，匹配其承载量。</w:t>
      </w:r>
    </w:p>
    <w:p w14:paraId="6B5C7A0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28E4A5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C0390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71088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Ⅱ-1 FCF覆盖分红能力（10年追踪）</w:t>
      </w:r>
    </w:p>
    <w:p w14:paraId="69F8B2B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539354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核心覆盖率矩阵</w:t>
      </w:r>
    </w:p>
    <w:p w14:paraId="0A6507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401AC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6F1742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7B60934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经营现金流OCF（亿元） | | | | | | | | | | |</w:t>
      </w:r>
    </w:p>
    <w:p w14:paraId="55E1FEC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资本开支Capex（亿元） | | | | | | | | | | |</w:t>
      </w:r>
    </w:p>
    <w:p w14:paraId="7148E77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自由现金流FCF（亿元） | | | | | | | | | | |</w:t>
      </w:r>
    </w:p>
    <w:p w14:paraId="567507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分红总额（亿元） | | | | | | | | | | |</w:t>
      </w:r>
    </w:p>
    <w:p w14:paraId="42FB94D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FCF覆盖倍数（FCF/分红） | | | | | | | | | | |</w:t>
      </w:r>
    </w:p>
    <w:p w14:paraId="478B987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OCF覆盖倍数（OCF/分红） | | | | | | | | | | |</w:t>
      </w:r>
    </w:p>
    <w:p w14:paraId="5B0D58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FCF派息率（分红/FCF，%） | | | | | | | | | | |</w:t>
      </w:r>
    </w:p>
    <w:p w14:paraId="50FF92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是否充裕（FCF覆盖&gt;1.2x=充裕） | | | | | | | | | | |</w:t>
      </w:r>
    </w:p>
    <w:p w14:paraId="6B067F9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E0D1B6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压力测试</w:t>
      </w:r>
    </w:p>
    <w:p w14:paraId="5DE45B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9C6C4F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情景 | FCF下降幅度 | 能否维持当前DPS | 能否维持分红增速 |</w:t>
      </w:r>
    </w:p>
    <w:p w14:paraId="22F6B76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6A5171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基准情景 | 不变 | | |</w:t>
      </w:r>
    </w:p>
    <w:p w14:paraId="24F3F03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轻度压力（行业小幅下行） | -20% | | |</w:t>
      </w:r>
    </w:p>
    <w:p w14:paraId="24EE633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中度压力（类似2020） | -40% | | |</w:t>
      </w:r>
    </w:p>
    <w:p w14:paraId="2033CC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重度压力（极端情景） | -60% | | |</w:t>
      </w:r>
    </w:p>
    <w:p w14:paraId="7515C8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5D5C76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0DB37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25993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Ⅱ-2 资产负债表对分红的支撑</w:t>
      </w:r>
    </w:p>
    <w:p w14:paraId="055B814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51531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偿债与财务健康</w:t>
      </w:r>
    </w:p>
    <w:p w14:paraId="3B00934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A54D9D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2022 | 2023 | 2024 | 2025 | 2026Q1 | 趋势 |</w:t>
      </w:r>
    </w:p>
    <w:p w14:paraId="240E50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|---|---:|---:|---:|---:|---:|---|</w:t>
      </w:r>
    </w:p>
    <w:p w14:paraId="1FE8FB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净债务/净现金（亿元） | | | | | | |</w:t>
      </w:r>
    </w:p>
    <w:p w14:paraId="1F5753B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有息负债总额（亿元） | | | | | | |</w:t>
      </w:r>
    </w:p>
    <w:p w14:paraId="34F3BD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货币资金（亿元） | | | | | | |</w:t>
      </w:r>
    </w:p>
    <w:p w14:paraId="5ED4B22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净债务/EBITDA | | | | | | |</w:t>
      </w:r>
    </w:p>
    <w:p w14:paraId="77495C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利息覆盖率（EBIT/利息） | | | | | | |</w:t>
      </w:r>
    </w:p>
    <w:p w14:paraId="29F05AB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资产负债率（%） | | | | | | |</w:t>
      </w:r>
    </w:p>
    <w:p w14:paraId="270E29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流动比率 | | | | | | |</w:t>
      </w:r>
    </w:p>
    <w:p w14:paraId="49E3A39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现金/年度分红总额 | | | | | | |</w:t>
      </w:r>
    </w:p>
    <w:p w14:paraId="0A5B09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61EB7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债务与分红能力结论</w:t>
      </w:r>
    </w:p>
    <w:p w14:paraId="6017624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6EA17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判断 | 说明 |</w:t>
      </w:r>
    </w:p>
    <w:p w14:paraId="533389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498F7E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是否净现金公司 | 是 / 否 | |</w:t>
      </w:r>
    </w:p>
    <w:p w14:paraId="45BE710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杠杆水平是否限制分红 | 是 / 否 | |</w:t>
      </w:r>
    </w:p>
    <w:p w14:paraId="1A82418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现金储备是否充足（&gt;1年分红总额） | 是 / 否 | |</w:t>
      </w:r>
    </w:p>
    <w:p w14:paraId="02B7BD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短期债务是否有集中到期风险 | 是 / 否 | |</w:t>
      </w:r>
    </w:p>
    <w:p w14:paraId="7C8C0A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0E226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E30E96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12B270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Ⅱ-3 ⚠️ 存货专项检验（海澜之家核心风险）</w:t>
      </w:r>
    </w:p>
    <w:p w14:paraId="5CE88D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D44AD1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这是海澜之家最独特的风险点。服装行业存货贬值快，海澜的加盟模式导致存货体量巨大。</w:t>
      </w:r>
    </w:p>
    <w:p w14:paraId="59D89F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D013EB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存货数据追踪（10年）</w:t>
      </w:r>
    </w:p>
    <w:p w14:paraId="32CDECA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16350C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719CFF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72D1B26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存货总额（亿元） | | | | | | | | | | |</w:t>
      </w:r>
    </w:p>
    <w:p w14:paraId="20E885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存货/营收（%） | | | | | | | | | | |</w:t>
      </w:r>
    </w:p>
    <w:p w14:paraId="10B50EB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存货/总资产（%） | | | | | | | | | | |</w:t>
      </w:r>
    </w:p>
    <w:p w14:paraId="029778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存货周转天数 | | | | | | | | | | |</w:t>
      </w:r>
    </w:p>
    <w:p w14:paraId="1A73D1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存货跌价准备（亿元） | | | | | | | | | | |</w:t>
      </w:r>
    </w:p>
    <w:p w14:paraId="69CCDD1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跌价准备/存货总额（%） | | | | | | | | | | |</w:t>
      </w:r>
    </w:p>
    <w:p w14:paraId="12B7A8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存货YoY增速（%） | | | | | | | | | | |</w:t>
      </w:r>
    </w:p>
    <w:p w14:paraId="7CA9AA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存货增速 vs 营收增速 | | | | | | | | | | |</w:t>
      </w:r>
    </w:p>
    <w:p w14:paraId="745E568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6E1E36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存货结构拆分（最新年度）</w:t>
      </w:r>
    </w:p>
    <w:p w14:paraId="3160A4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00BB1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存货类别 | 金额（亿元） | 占比（%） | 账龄分布 |</w:t>
      </w:r>
    </w:p>
    <w:p w14:paraId="673C0E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|---|---:|---:|---|</w:t>
      </w:r>
    </w:p>
    <w:p w14:paraId="38217DE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库存商品 | | | |</w:t>
      </w:r>
    </w:p>
    <w:p w14:paraId="392D87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原材料 | | | |</w:t>
      </w:r>
    </w:p>
    <w:p w14:paraId="7FDDF08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在产品 | | | |</w:t>
      </w:r>
    </w:p>
    <w:p w14:paraId="2518178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委托加工物资 | | | |</w:t>
      </w:r>
    </w:p>
    <w:p w14:paraId="013D6C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其他 | | | |</w:t>
      </w:r>
    </w:p>
    <w:p w14:paraId="29AF111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B6E49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存货风险评估</w:t>
      </w:r>
    </w:p>
    <w:p w14:paraId="257C38D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87588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检查项 | 数据 | 是否正常 |</w:t>
      </w:r>
    </w:p>
    <w:p w14:paraId="377BF6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1729E9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存货/营收是否持续上升 | | ✅ / ⚠️ / ❌ |</w:t>
      </w:r>
    </w:p>
    <w:p w14:paraId="70739A4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存货增速是否&gt;营收增速 | | ✅ / ⚠️ / ❌ |</w:t>
      </w:r>
    </w:p>
    <w:p w14:paraId="189E91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存货周转天数是否恶化 | | ✅ / ⚠️ / ❌ |</w:t>
      </w:r>
    </w:p>
    <w:p w14:paraId="4932A9D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跌价计提是否充分（跌价/存货&gt;5%为充分） | | ✅ / ⚠️ / ❌ |</w:t>
      </w:r>
    </w:p>
    <w:p w14:paraId="31E7A2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存货/总资产是否&gt;30%（过高） | | ✅ / ⚠️ / ❌ |</w:t>
      </w:r>
    </w:p>
    <w:p w14:paraId="25DD77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是否有大额存货核销历史 | | ✅ / ⚠️ / ❌ |</w:t>
      </w:r>
    </w:p>
    <w:p w14:paraId="5BB50E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加盟商退货政策是否将存货风险留在公司 | | ✅ / ⚠️ / ❌ |</w:t>
      </w:r>
    </w:p>
    <w:p w14:paraId="1149B4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CDA350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4DF2C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11934F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Ⅱ-4 特殊风险——借债分红检验</w:t>
      </w:r>
    </w:p>
    <w:p w14:paraId="3C3274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32390C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检查项 | 数据 | 是否正常 |</w:t>
      </w:r>
    </w:p>
    <w:p w14:paraId="129185B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073305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FCF是否持续覆盖分红（&gt;100%覆盖连续5年） | | ✅ / ⚠️ / ❌ |</w:t>
      </w:r>
    </w:p>
    <w:p w14:paraId="22BA1D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分红增速是否远超FCF增速（警示） | | ✅ / ⚠️ / ❌ |</w:t>
      </w:r>
    </w:p>
    <w:p w14:paraId="25C394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净债务是否因分红而持续上升 | | ✅ / ⚠️ / ❌ |</w:t>
      </w:r>
    </w:p>
    <w:p w14:paraId="439C743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是否有借短债支付长期分红迹象 | | ✅ / ⚠️ / ❌ |</w:t>
      </w:r>
    </w:p>
    <w:p w14:paraId="418C3D0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派息率是否&gt;FCF的90%（危险信号） | | ✅ / ⚠️ / ❌ |</w:t>
      </w:r>
    </w:p>
    <w:p w14:paraId="247D5A9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2A8D27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D0C210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0B79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Ⅱ 模块评分（100分）</w:t>
      </w:r>
    </w:p>
    <w:p w14:paraId="6D32D3B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D8CEE5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2E1715F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33CCF02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Ⅱ-1a FCF覆盖率水平（最新年） | 14 | &gt;200%=14；150-200%=11；120-150%=8；100-120%=5；75-100%=3；&lt;75%=0 | | |</w:t>
      </w:r>
    </w:p>
    <w:p w14:paraId="075B4B3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Ⅱ-1b FCF覆盖稳定性（10年中有几年&gt;100%） | 12 | ≥8年&gt;120%=12；≥8年&gt;100%=9；6-7年&gt;100%=6；&lt;6年=2 | | V2.0：窗口从5年扩至10年 |</w:t>
      </w:r>
    </w:p>
    <w:p w14:paraId="390D626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Ⅱ-1c FCF派息率安全性（最新年） | 10 | &lt;60%=10；60-75%=8；75-90%=5；90-100%=2；&gt;100%=0 | | 原Ⅰ-2b移入 |</w:t>
      </w:r>
    </w:p>
    <w:p w14:paraId="0349A5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Ⅱ-1d 是否有年份FCF&lt;分红（10年内） | 8 | 从未发生=8；发生1次=5；2次=2；≥3次=0 | | 原Ⅰ-2c移入 |</w:t>
      </w:r>
    </w:p>
    <w:p w14:paraId="06A1E63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Ⅱ-1e 压力测试（-40%情景，模拟2020） | 8 | 可维持分红不减=8；可维持但不增=5；需削减=0 | | |</w:t>
      </w:r>
    </w:p>
    <w:p w14:paraId="158D03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Ⅱ-2a 杠杆水平（净债务/EBITDA或净现金） | 8 | 净现金=8；净债务&lt;1x=6；1-2x=4；2-3x=2；&gt;3x=0 | | |</w:t>
      </w:r>
    </w:p>
    <w:p w14:paraId="695D31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Ⅱ-2b 现金储备充足度（现金/年度分红） | 6 | &gt;3倍=6；2-3倍=4；1-2倍=2；&lt;1倍=0 | | |</w:t>
      </w:r>
    </w:p>
    <w:p w14:paraId="0A51A3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Ⅱ-3a 存货/营收水平 | 10 | &lt;30%=10；30-40%=7；40-50%=4；50-60%=2；&gt;60%=0 | | |</w:t>
      </w:r>
    </w:p>
    <w:p w14:paraId="6B7A59F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Ⅱ-3b 存货周转天数趋势 | 8 | 改善趋势=8；稳定=5；恶化=2；严重恶化=0 | | |</w:t>
      </w:r>
    </w:p>
    <w:p w14:paraId="0B86C0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Ⅱ-3c 跌价计提充分性 | 6 | 跌价/存货&gt;8%=6；5-8%=4；3-5%=2；&lt;3%=0 | | |</w:t>
      </w:r>
    </w:p>
    <w:p w14:paraId="558BDD3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Ⅱ-3d 存货增速vs营收增速 | 4 | 存货增速&lt;营收增速=4；略高=2；明显高=0 | | |</w:t>
      </w:r>
    </w:p>
    <w:p w14:paraId="5A1EC99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Ⅱ-4 借债分红风险（5项检查） | 6 | 0项触发=6；1项=4；2项=2；≥3项=0 | | |</w:t>
      </w:r>
    </w:p>
    <w:p w14:paraId="39AD80D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**Ⅱ模块小计** | **100** | | | |</w:t>
      </w:r>
    </w:p>
    <w:p w14:paraId="3E79F3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1EF8F8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21D9B2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8B636C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511847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65401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DA8AB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9B047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模块Ⅲ：基本面稳定性（满分80分）</w:t>
      </w:r>
    </w:p>
    <w:p w14:paraId="2D3122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A1C0A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**V2.0权重提升至20%**。逻辑：基本面恶化直接摧毁Ⅰ/Ⅱ模块的全部安全垫计算，属于前置条件。</w:t>
      </w:r>
    </w:p>
    <w:p w14:paraId="283B82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1FC8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0823DE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13DF8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Ⅲ-1 营收趋势（10年）</w:t>
      </w:r>
    </w:p>
    <w:p w14:paraId="6E6375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AF90F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年度数据表</w:t>
      </w:r>
    </w:p>
    <w:p w14:paraId="685F0F6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7BA30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62936B4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5B42443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营收（亿元） | | | | | | | | | | |</w:t>
      </w:r>
    </w:p>
    <w:p w14:paraId="6C9FE27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YoY增速（%） | | | | | | | | | | |</w:t>
      </w:r>
    </w:p>
    <w:p w14:paraId="2C82182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737F6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CAGR汇总</w:t>
      </w:r>
    </w:p>
    <w:p w14:paraId="6C2207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08526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时间跨度 | CAGR | 备注 |</w:t>
      </w:r>
    </w:p>
    <w:p w14:paraId="1E811E0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</w:t>
      </w:r>
    </w:p>
    <w:p w14:paraId="73D609F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近3年（2023-2025） | | |</w:t>
      </w:r>
    </w:p>
    <w:p w14:paraId="381C2E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近5年（2021-2025） | | |</w:t>
      </w:r>
    </w:p>
    <w:p w14:paraId="6083A4F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近10年（2016-2025） | | |</w:t>
      </w:r>
    </w:p>
    <w:p w14:paraId="59C5AA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剔除2020后的5年滚动均值 | | 更反映正常经营 |</w:t>
      </w:r>
    </w:p>
    <w:p w14:paraId="1E38292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D7BF2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季度数据（近12个季度）</w:t>
      </w:r>
    </w:p>
    <w:p w14:paraId="3CE8129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464D8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季度 | 2024Q1 | Q2 | Q3 | Q4 | 2025Q1 | Q2 | Q3 | Q4 | 2026Q1 | 最新可得 |</w:t>
      </w:r>
    </w:p>
    <w:p w14:paraId="49E809E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732291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营收（亿元） | | | | | | | | | | |</w:t>
      </w:r>
    </w:p>
    <w:p w14:paraId="2410EE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YoY（%） | | | | | | | | | | |</w:t>
      </w:r>
    </w:p>
    <w:p w14:paraId="1DA0ABE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1D3DC8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2396B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8BCF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Ⅲ-2 净利润与EPS趋势（10年）</w:t>
      </w:r>
    </w:p>
    <w:p w14:paraId="0B6EAA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63F26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年度数据表</w:t>
      </w:r>
    </w:p>
    <w:p w14:paraId="6BFC7EC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6F3D5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318BBB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72386B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归母净利润（亿元） | | | | | | | | | | |</w:t>
      </w:r>
    </w:p>
    <w:p w14:paraId="20E4C7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扣非净利润（亿元） | | | | | | | | | | |</w:t>
      </w:r>
    </w:p>
    <w:p w14:paraId="45E365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EPS（元） | | | | | | | | | | |</w:t>
      </w:r>
    </w:p>
    <w:p w14:paraId="358B20F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YoY净利增速（%） | | | | | | | | | | |</w:t>
      </w:r>
    </w:p>
    <w:p w14:paraId="12F0A7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E3759B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CAGR汇总</w:t>
      </w:r>
    </w:p>
    <w:p w14:paraId="59C8355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30567F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时间跨度 | 净利润CAGR | EPS CAGR | 备注 |</w:t>
      </w:r>
    </w:p>
    <w:p w14:paraId="5C5E63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|---|---:|---:|---|</w:t>
      </w:r>
    </w:p>
    <w:p w14:paraId="4761EFD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近3年 | | | |</w:t>
      </w:r>
    </w:p>
    <w:p w14:paraId="30B490D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近5年 | | | |</w:t>
      </w:r>
    </w:p>
    <w:p w14:paraId="1A67471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近10年 | | | |</w:t>
      </w:r>
    </w:p>
    <w:p w14:paraId="0983B1B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15E29D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045A4F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993D80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Ⅲ-3 利润率演变（10年）</w:t>
      </w:r>
    </w:p>
    <w:p w14:paraId="0FFEA38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5E34B2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年度利润率追踪</w:t>
      </w:r>
    </w:p>
    <w:p w14:paraId="116ED3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FA4DD7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7C591F3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34343D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毛利率（%） | | | | | | | | | | |</w:t>
      </w:r>
    </w:p>
    <w:p w14:paraId="1BDBC39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净利率（%） | | | | | | | | | | |</w:t>
      </w:r>
    </w:p>
    <w:p w14:paraId="6A0348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EBITDA利润率（%） | | | | | | | | | | |</w:t>
      </w:r>
    </w:p>
    <w:p w14:paraId="4FF8CA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销售费用/营收（%） | | | | | | | | | | |</w:t>
      </w:r>
    </w:p>
    <w:p w14:paraId="14D979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管理费用/营收（%） | | | | | | | | | | |</w:t>
      </w:r>
    </w:p>
    <w:p w14:paraId="5450AB6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178840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利润率趋势判断</w:t>
      </w:r>
    </w:p>
    <w:p w14:paraId="04D456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F33EC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整体趋势 | 近3年趋势 | 说明 |</w:t>
      </w:r>
    </w:p>
    <w:p w14:paraId="1FA3437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0AD2705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毛利率 | 上升/稳定/下降 | | |</w:t>
      </w:r>
    </w:p>
    <w:p w14:paraId="11F04E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净利率 | | | |</w:t>
      </w:r>
    </w:p>
    <w:p w14:paraId="5662B2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费用率 | | | 费用刚性是否在挤压利润？ |</w:t>
      </w:r>
    </w:p>
    <w:p w14:paraId="3074F2E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18830B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27A9F1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ED44D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Ⅲ-4 自由现金流趋势（10年）</w:t>
      </w:r>
    </w:p>
    <w:p w14:paraId="6C9761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D7DCA9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2F15891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46B8613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OCF（亿元） | | | | | | | | | | |</w:t>
      </w:r>
    </w:p>
    <w:p w14:paraId="39DD0E3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Capex（亿元） | | | | | | | | | | |</w:t>
      </w:r>
    </w:p>
    <w:p w14:paraId="38A53B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FCF（亿元） | | | | | | | | | | |</w:t>
      </w:r>
    </w:p>
    <w:p w14:paraId="264412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FCF利润率（%） | | | | | | | | | | |</w:t>
      </w:r>
    </w:p>
    <w:p w14:paraId="2A5BEE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FCF/净利润（%） | | | | | | | | | | |</w:t>
      </w:r>
    </w:p>
    <w:p w14:paraId="33A454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BC59C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21B49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88F53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Ⅲ-5 利润质量核查</w:t>
      </w:r>
    </w:p>
    <w:p w14:paraId="512E90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5B64B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检查项 | 近3年数据 | 趋势 | 是否正常 |</w:t>
      </w:r>
    </w:p>
    <w:p w14:paraId="5544C5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497667A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OCF/净利润（&gt;85%健康） | | | ✅ / ⚠️ / ❌ |</w:t>
      </w:r>
    </w:p>
    <w:p w14:paraId="3FD6430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非经常性损益/净利润（&lt;15%健康） | | | ✅ / ⚠️ / ❌ |</w:t>
      </w:r>
    </w:p>
    <w:p w14:paraId="3AAF9D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应收账款增速 vs 营收增速 | | | ✅ / ⚠️ / ❌ |</w:t>
      </w:r>
    </w:p>
    <w:p w14:paraId="18E13F0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应收账款周转天数趋势 | | | ✅ / ⚠️ / ❌ |</w:t>
      </w:r>
    </w:p>
    <w:p w14:paraId="38E2BBB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有效税率稳定性 | | | ✅ / ⚠️ / ❌ |</w:t>
      </w:r>
    </w:p>
    <w:p w14:paraId="5D21F5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关联交易占比 | | | ✅ / ⚠️ / ❌ |</w:t>
      </w:r>
    </w:p>
    <w:p w14:paraId="03242E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投资收益/净利润占比 | | | ✅ / ⚠️ / ❌ |</w:t>
      </w:r>
    </w:p>
    <w:p w14:paraId="4686BFF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DBBD16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1E981C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7AF3C5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Ⅲ-6 ROIC与ROE追踪（10年）</w:t>
      </w:r>
    </w:p>
    <w:p w14:paraId="5675629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8EA68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</w:t>
      </w:r>
    </w:p>
    <w:p w14:paraId="69EBD4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</w:t>
      </w:r>
    </w:p>
    <w:p w14:paraId="5F56B42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ROE（%） | | | | | | | | | | |</w:t>
      </w:r>
    </w:p>
    <w:p w14:paraId="34DC7C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ROIC（%） | | | | | | | | | | |</w:t>
      </w:r>
    </w:p>
    <w:p w14:paraId="415DFFE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6D2C6A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98BD99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A1416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Ⅲ-7 同店/品牌分拆</w:t>
      </w:r>
    </w:p>
    <w:p w14:paraId="375E512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3DB2C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品牌/渠道 | 2023营收 | 2024营收 | 2025营收 | 增速 | 占比变化 |</w:t>
      </w:r>
    </w:p>
    <w:p w14:paraId="0A6289C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|---|---:|---:|---:|---:|---|</w:t>
      </w:r>
    </w:p>
    <w:p w14:paraId="4DCAB1F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海澜之家主品牌 | | | | | |</w:t>
      </w:r>
    </w:p>
    <w:p w14:paraId="671CE6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团购定制系列 | | | | | |</w:t>
      </w:r>
    </w:p>
    <w:p w14:paraId="04A514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其他品牌（OVV/黑鲸等） | | | | | |</w:t>
      </w:r>
    </w:p>
    <w:p w14:paraId="22756E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斯搏兹/阿迪下沉渠道（若并表） | | | | | |</w:t>
      </w:r>
    </w:p>
    <w:p w14:paraId="6CC99E7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京东奥莱渠道 | | | | | |</w:t>
      </w:r>
    </w:p>
    <w:p w14:paraId="5F2FC3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线上渠道合计 | | | | | |</w:t>
      </w:r>
    </w:p>
    <w:p w14:paraId="5992027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线下直营 | | | | | |</w:t>
      </w:r>
    </w:p>
    <w:p w14:paraId="6FE47E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线下加盟 | | | | | |</w:t>
      </w:r>
    </w:p>
    <w:p w14:paraId="41BCCE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海外市场 | | | | | |</w:t>
      </w:r>
    </w:p>
    <w:p w14:paraId="2C6EBA3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61F6F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门店数据</w:t>
      </w:r>
    </w:p>
    <w:p w14:paraId="40BC68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7CD282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2021 | 2022 | 2023 | 2024 | 2025 | 趋势 |</w:t>
      </w:r>
    </w:p>
    <w:p w14:paraId="3E28738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|---|---:|---:|---:|---:|---:|---|</w:t>
      </w:r>
    </w:p>
    <w:p w14:paraId="3CDC00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总门店数 | | | | | | |</w:t>
      </w:r>
    </w:p>
    <w:p w14:paraId="3D1253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净开店数 | | | | | | |</w:t>
      </w:r>
    </w:p>
    <w:p w14:paraId="03DF973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直营占比（%） | | | | | | |</w:t>
      </w:r>
    </w:p>
    <w:p w14:paraId="64A1A2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单店营收（万元） | | | | | | |</w:t>
      </w:r>
    </w:p>
    <w:p w14:paraId="1EFD732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京东奥莱门店数（若可得） | | | | | | |</w:t>
      </w:r>
    </w:p>
    <w:p w14:paraId="0C4601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91FBA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66EA6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BDDEC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Ⅲ 模块评分（80分）</w:t>
      </w:r>
    </w:p>
    <w:p w14:paraId="2AB4786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264A5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5B402DF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79462F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Ⅲ-1a 营收稳定性（近5年波动度） | 10 | 剔除2020后YoY波动&lt;10%=10；10-20%=7；20-30%=4；&gt;30%=1 | | |</w:t>
      </w:r>
    </w:p>
    <w:p w14:paraId="0982917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Ⅲ-1b 营收是否为正增长（近3年均值） | 8 | &gt;5%=8；0-5%=5；-5%-0%=2；&lt;-5%=0 | | |</w:t>
      </w:r>
    </w:p>
    <w:p w14:paraId="17DEEFC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Ⅲ-2a 净利润稳定性（近5年） | 10 | 均保持正增长=10；偶尔下滑=6；大幅波动=3；趋势下滑=0 | | |</w:t>
      </w:r>
    </w:p>
    <w:p w14:paraId="6DE19C9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Ⅲ-2b EPS是否恢复到2019年前水平 | 8 | 已超越=8；接近=5；尚未恢复=2 | | |</w:t>
      </w:r>
    </w:p>
    <w:p w14:paraId="5B3FBEF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Ⅲ-3a 毛利率趋势（近5年） | 8 | 提升=8；稳定=5；下降&lt;3pct=3；下降&gt;3pct=0 | | |</w:t>
      </w:r>
    </w:p>
    <w:p w14:paraId="221510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Ⅲ-3b 净利率趋势（近5年） | 8 | 提升=8；稳定=5；下降&lt;3pct=3；下降&gt;3pct=0 | | |</w:t>
      </w:r>
    </w:p>
    <w:p w14:paraId="373952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Ⅲ-4 FCF/净利润（近3年均值） | 8 | &gt;100%=8；85-100%=6；70-85%=3；&lt;70%=0 | | |</w:t>
      </w:r>
    </w:p>
    <w:p w14:paraId="3F8DE8A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Ⅲ-5 利润质量综合（7项检查） | 8 | 全部正常=8；1-2项异常=5；3-4项=2；5项+=0 | | |</w:t>
      </w:r>
    </w:p>
    <w:p w14:paraId="394B44E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Ⅲ-6 ROE水平与趋势 | 6 | &gt;20%且稳定/提升=6；15-20%=4；10-15%=2；&lt;10%或持续下滑=0 | | |</w:t>
      </w:r>
    </w:p>
    <w:p w14:paraId="6565D49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Ⅲ-7 品牌/渠道健康度 | 6 | 主品牌稳定+新渠道贡献增长=6；主品牌稳定=3；主品牌下滑=0 | | |</w:t>
      </w:r>
    </w:p>
    <w:p w14:paraId="26DE079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**Ⅲ模块小计** | **80** | | | |</w:t>
      </w:r>
    </w:p>
    <w:p w14:paraId="7F93C0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F387F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3B25426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28EF4D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DABC57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3B66C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65A42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72BF57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模块Ⅳ：估值波段位置（满分90分）</w:t>
      </w:r>
    </w:p>
    <w:p w14:paraId="3D0E3C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A7DE8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**V2.0改动**：</w:t>
      </w:r>
    </w:p>
    <w:p w14:paraId="27A9884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1. 承接原Ⅰ模块的股息率分位评分，成为股息率估值的唯一评分模块</w:t>
      </w:r>
    </w:p>
    <w:p w14:paraId="4D7E71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2. 新增Ⅳ-9同行横向比对子模块</w:t>
      </w:r>
    </w:p>
    <w:p w14:paraId="268B603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3. 权重从20%降至15%（择时 &lt; 生存）</w:t>
      </w:r>
    </w:p>
    <w:p w14:paraId="5D99020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579D53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1EC34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C1A4C1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Ⅳ-1 PE估值（10年历史）</w:t>
      </w:r>
    </w:p>
    <w:p w14:paraId="124C387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90163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2016 | 2017 | 2018 | 2019 | 2020 | 2021 | 2022 | 2023 | 2024 | 2025 | 当前 | 10年均值 | 10年最低 | 10年最高 | 当前分位 |</w:t>
      </w:r>
    </w:p>
    <w:p w14:paraId="50CD8E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|---|---:|---:|---:|---:|---:|---:|---:|---:|---:|---:|---:|---:|---:|---:|---:|</w:t>
      </w:r>
    </w:p>
    <w:p w14:paraId="36813E3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Trailing PE | | | | | | | | | | | | | | | |</w:t>
      </w:r>
    </w:p>
    <w:p w14:paraId="1B90842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Forward PE | | | | | | | | | | | | | | | |</w:t>
      </w:r>
    </w:p>
    <w:p w14:paraId="30264BB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CF4DA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B80D01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1C7A0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Ⅳ-2 PB估值（10年历史）</w:t>
      </w:r>
    </w:p>
    <w:p w14:paraId="7734D4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630FE9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2016 | 2017 | 2018 | 2019 | 2020 | 2021 | 2022 | 2023 | 2024 | 2025 | 当前 | 10年均值 | 10年最低 | 10年最高 | 当前分位 |</w:t>
      </w:r>
    </w:p>
    <w:p w14:paraId="0BDCBD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|---|---:|---:|---:|---:|---:|---:|---:|---:|---:|---:|---:|---:|---:|---:|---:|</w:t>
      </w:r>
    </w:p>
    <w:p w14:paraId="4F5AAD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PB | | | | | | | | | | | | | | | |</w:t>
      </w:r>
    </w:p>
    <w:p w14:paraId="5F5E33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0BBBF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A765E3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2811E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Ⅳ-3 EV/EBITDA估值（10年历史）</w:t>
      </w:r>
    </w:p>
    <w:p w14:paraId="701A509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E6F4B8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2016 | 2017 | 2018 | 2019 | 2020 | 2021 | 2022 | 2023 | 2024 | 2025 | 当前 | 10年均值 | 10年最低 | 10年最高 | 当前分位 |</w:t>
      </w:r>
    </w:p>
    <w:p w14:paraId="46BE4D2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|---|---:|---:|---:|---:|---:|---:|---:|---:|---:|---:|---:|---:|---:|---:|---:|</w:t>
      </w:r>
    </w:p>
    <w:p w14:paraId="7A426C6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EV/EBITDA | | | | | | | | | | | | | | | |</w:t>
      </w:r>
    </w:p>
    <w:p w14:paraId="14989D2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A8CA5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8F06F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84E886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Ⅳ-4 股息率估值（10年历史）——核心估值锚</w:t>
      </w:r>
    </w:p>
    <w:p w14:paraId="1B0A68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AFBC98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V2.0：股息率相关评分全部集中在此，不再在Ⅰ模块重复</w:t>
      </w:r>
    </w:p>
    <w:p w14:paraId="6A4D99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B01BAC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2016 | 2017 | 2018 | 2019 | 2020 | 2021 | 2022 | 2023 | 2024 | 2025 | 当前 | 10年均值 | 10年最低 | 10年最高 | 当前分位 |</w:t>
      </w:r>
    </w:p>
    <w:p w14:paraId="4B0B8DC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|---|---:|---:|---:|---:|---:|---:|---:|---:|---:|---:|---:|---:|---:|---:|---:|</w:t>
      </w:r>
    </w:p>
    <w:p w14:paraId="78A2BB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股息率（%） | | | | | | | | | | | | | | | |</w:t>
      </w:r>
    </w:p>
    <w:p w14:paraId="62554EF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AE37C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股息率估值分析</w:t>
      </w:r>
    </w:p>
    <w:p w14:paraId="44201E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2528C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结论 |</w:t>
      </w:r>
    </w:p>
    <w:p w14:paraId="37C4DA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707370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当前股息率处于10年几分位 | |</w:t>
      </w:r>
    </w:p>
    <w:p w14:paraId="3EBBCA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股息率&gt;5%的年份是否为好买入点（历史验证） | |</w:t>
      </w:r>
    </w:p>
    <w:p w14:paraId="4F0F2E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股息率&lt;3%的年份是否为卖出点（历史验证） | |</w:t>
      </w:r>
    </w:p>
    <w:p w14:paraId="6777E7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当前股息率 vs 无风险利率利差 | |</w:t>
      </w:r>
    </w:p>
    <w:p w14:paraId="191D16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当前股息率 vs 银行理财收益率（~2%） | |</w:t>
      </w:r>
    </w:p>
    <w:p w14:paraId="3D1EC8E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F1FC7E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A0EF09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E0BD0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Ⅳ-5 P/FCF估值</w:t>
      </w:r>
    </w:p>
    <w:p w14:paraId="040C01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BB311B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2016 | 2018 | 2020 | 2022 | 2024 | 2025 | 当前 | 均值 | 最低 | 最高 | 分位 |</w:t>
      </w:r>
    </w:p>
    <w:p w14:paraId="6EA2AC9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|---|---:|---:|---:|---:|---:|---:|---:|---:|---:|---:|---:|</w:t>
      </w:r>
    </w:p>
    <w:p w14:paraId="070BBA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P/FCF | | | | | | | | | | | |</w:t>
      </w:r>
    </w:p>
    <w:p w14:paraId="07C19B1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 Yield（%） | | | | | | | | | | | |</w:t>
      </w:r>
    </w:p>
    <w:p w14:paraId="163D9A3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9C6592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2B5813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3FFAE8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Ⅳ-6 波段历史复盘</w:t>
      </w:r>
    </w:p>
    <w:p w14:paraId="56B7B5E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B83A4C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 | 起始时间 | 最低价 | 结束时间 | 最高价 | 涨幅 | 持续时间 | 对应基本面 | 对应估值指标 |</w:t>
      </w:r>
    </w:p>
    <w:p w14:paraId="597C4AF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|---|---|---:|---|---:|---:|---|---|---|</w:t>
      </w:r>
    </w:p>
    <w:p w14:paraId="5EBE51F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波段1（上涨） | | | | | | | | |</w:t>
      </w:r>
    </w:p>
    <w:p w14:paraId="40DE95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波段1（下跌） | | | | | | | | |</w:t>
      </w:r>
    </w:p>
    <w:p w14:paraId="738AC68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波段2（上涨） | | | | | | | | |</w:t>
      </w:r>
    </w:p>
    <w:p w14:paraId="778B201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波段2（下跌） | | | | | | | | |</w:t>
      </w:r>
    </w:p>
    <w:p w14:paraId="706843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波段3（上涨） | | | | | | | | |</w:t>
      </w:r>
    </w:p>
    <w:p w14:paraId="76B68DB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波段3（下跌） | | | | | | | | |</w:t>
      </w:r>
    </w:p>
    <w:p w14:paraId="5D874F8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 | | | | | | | | |</w:t>
      </w:r>
    </w:p>
    <w:p w14:paraId="4F2CD6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AA91FD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波段规律总结</w:t>
      </w:r>
    </w:p>
    <w:p w14:paraId="7B0221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96AB4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结论 |</w:t>
      </w:r>
    </w:p>
    <w:p w14:paraId="5FF416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75460A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历史波段底部共同特征（PE/PB/股息率） | |</w:t>
      </w:r>
    </w:p>
    <w:p w14:paraId="626E4BA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历史波段顶部共同特征 | |</w:t>
      </w:r>
    </w:p>
    <w:p w14:paraId="1DAB5AF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当前处于波段的哪个位置 | 底部区间 / 中部 / 顶部区间 |</w:t>
      </w:r>
    </w:p>
    <w:p w14:paraId="099C7B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触发波段启动的典型催化剂 | |</w:t>
      </w:r>
    </w:p>
    <w:p w14:paraId="03E8F9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7B724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6DE7C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08C22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Ⅳ-7 DDM估值</w:t>
      </w:r>
    </w:p>
    <w:p w14:paraId="6FC2D7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C0107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DDM参数</w:t>
      </w:r>
    </w:p>
    <w:p w14:paraId="3D9A945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C1969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参数 | 悲观 | 基准 | 乐观 |</w:t>
      </w:r>
    </w:p>
    <w:p w14:paraId="0E26941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</w:t>
      </w:r>
    </w:p>
    <w:p w14:paraId="3F3375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当前DPS（元） | | | |</w:t>
      </w:r>
    </w:p>
    <w:p w14:paraId="6C71062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未来5年DPS增速假设（%） | | | |</w:t>
      </w:r>
    </w:p>
    <w:p w14:paraId="0923800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5年后长期增速假设（%） | | | |</w:t>
      </w:r>
    </w:p>
    <w:p w14:paraId="4F755DC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股权折现率Ke（%） | | | |</w:t>
      </w:r>
    </w:p>
    <w:p w14:paraId="67501A9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C803D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DDM结果</w:t>
      </w:r>
    </w:p>
    <w:p w14:paraId="268488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532AD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情景 | 估算内在价值（元/股） | vs 当前股价 | 安全边际 |</w:t>
      </w:r>
    </w:p>
    <w:p w14:paraId="66EECB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</w:t>
      </w:r>
    </w:p>
    <w:p w14:paraId="271DB2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悲观 | | | |</w:t>
      </w:r>
    </w:p>
    <w:p w14:paraId="44FB128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基准 | | | |</w:t>
      </w:r>
    </w:p>
    <w:p w14:paraId="061607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乐观 | | | |</w:t>
      </w:r>
    </w:p>
    <w:p w14:paraId="5B46E7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F887DA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448C9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2E006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Ⅳ-8 逆向估值（市场隐含预期）</w:t>
      </w:r>
    </w:p>
    <w:p w14:paraId="6D45A7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B889E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项目 | 数值 |</w:t>
      </w:r>
    </w:p>
    <w:p w14:paraId="11D7B2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</w:t>
      </w:r>
    </w:p>
    <w:p w14:paraId="23A7857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当前股价隐含的永续增长率（DDM反推） | |</w:t>
      </w:r>
    </w:p>
    <w:p w14:paraId="50B1C8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当前股价隐含的合理EPS（按均值PE） | |</w:t>
      </w:r>
    </w:p>
    <w:p w14:paraId="17B6FD8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隐含预期是否合理 | 偏悲观 / 合理 / 偏乐观 |</w:t>
      </w:r>
    </w:p>
    <w:p w14:paraId="78E6ED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5B6B78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59A89B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24826B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Ⅳ-9 同行横向比对（V2.0新增）</w:t>
      </w:r>
    </w:p>
    <w:p w14:paraId="2EDD78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9CA3C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**为什么需要**：估值是贵还是便宜不能只跟自己历史比，需要跟A股服装同行横向对标</w:t>
      </w:r>
    </w:p>
    <w:p w14:paraId="62194E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0B7B2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同行估值快照（当前）</w:t>
      </w:r>
    </w:p>
    <w:p w14:paraId="5DEB4A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1EA74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公司 | 股票代码 | 市值（亿） | Trailing PE | PB | 股息率（TTM%） | ROE（%） | 净利率（%） | 存货/营收（%） |</w:t>
      </w:r>
    </w:p>
    <w:p w14:paraId="7A0A4F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|---|---|---:|---:|---:|---:|---:|---:|---:|</w:t>
      </w:r>
    </w:p>
    <w:p w14:paraId="3EC9F4D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**海澜之家** | 600398 | | | | | | | |</w:t>
      </w:r>
    </w:p>
    <w:p w14:paraId="7C61BD2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雅戈尔 | 600177 | | | | | | | |</w:t>
      </w:r>
    </w:p>
    <w:p w14:paraId="78AB05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报喜鸟 | 002154 | | | | | | | |</w:t>
      </w:r>
    </w:p>
    <w:p w14:paraId="622E25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森马服饰 | 002563 | | | | | | | |</w:t>
      </w:r>
    </w:p>
    <w:p w14:paraId="32D6633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七匹狼 | 002029 | | | | | | | |</w:t>
      </w:r>
    </w:p>
    <w:p w14:paraId="4C3FC2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红豆股份 | 600400 | | | | | | | |</w:t>
      </w:r>
    </w:p>
    <w:p w14:paraId="4A76410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行业中位数 | — | | | | | | | |</w:t>
      </w:r>
    </w:p>
    <w:p w14:paraId="231F0F0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71FEF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横向比对结论</w:t>
      </w:r>
    </w:p>
    <w:p w14:paraId="66E918D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D13D06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海澜 vs 同行 | 结论 |</w:t>
      </w:r>
    </w:p>
    <w:p w14:paraId="0071CB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78E161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PE相对位置 | 低于/接近/高于同行中位数 | |</w:t>
      </w:r>
    </w:p>
    <w:p w14:paraId="624E78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PB相对位置 | | |</w:t>
      </w:r>
    </w:p>
    <w:p w14:paraId="5D328D9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股息率相对位置 | | |</w:t>
      </w:r>
    </w:p>
    <w:p w14:paraId="1EA266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ROE相对位置 | | |</w:t>
      </w:r>
    </w:p>
    <w:p w14:paraId="2E6B16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存货/营收相对位置 | | |</w:t>
      </w:r>
    </w:p>
    <w:p w14:paraId="56C2B14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综合性价比排名（在6家中） | | |</w:t>
      </w:r>
    </w:p>
    <w:p w14:paraId="4ABD16E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B4707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8D690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5F967A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Ⅳ 模块评分（90分）</w:t>
      </w:r>
    </w:p>
    <w:p w14:paraId="7672561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5E1D0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2B09AC5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4A622AB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Ⅳ-1 PE分位（10年历史） | 10 | &lt;20%分位=10；20-35%=7；35-50%=5；50-70%=2；&gt;70%=0 | | |</w:t>
      </w:r>
    </w:p>
    <w:p w14:paraId="0C8B7B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Ⅳ-2 PB分位（10年历史） | 8 | &lt;20%分位=8；20-35%=6；35-50%=3；50-70%=1；&gt;70%=0 | | |</w:t>
      </w:r>
    </w:p>
    <w:p w14:paraId="1C9562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Ⅳ-3 EV/EBITDA分位 | 6 | &lt;25%分位=6；25-40%=4；40-60%=2；&gt;60%=0 | | |</w:t>
      </w:r>
    </w:p>
    <w:p w14:paraId="008CEA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Ⅳ-4a 股息率分位（核心！） | 14 | &gt;80%分位（高股息=便宜）=14；60-80%=10；40-60%=6；20-40%=3；&lt;20%=0 | | 原Ⅰ-3a移入，满分提升 |</w:t>
      </w:r>
    </w:p>
    <w:p w14:paraId="46498B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Ⅳ-4b 股息率绝对水平 | 10 | &gt;6%=10；5-6%=8；4-5%=6；3-4%=3；&lt;3%=0 | | 原Ⅰ-1d移入 |</w:t>
      </w:r>
    </w:p>
    <w:p w14:paraId="7ECC25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Ⅳ-4c 股息率超额vs无风险利率 | 6 | 超额&gt;3%=6；2-3%=4；1-2%=2；&lt;1%=0 | | 原Ⅰ-3b移入 |</w:t>
      </w:r>
    </w:p>
    <w:p w14:paraId="4D4FB31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Ⅳ-5 FCF Yield水平 | 6 | &gt;8%=6；6-8%=4；4-6%=2；&lt;4%=0 | | |</w:t>
      </w:r>
    </w:p>
    <w:p w14:paraId="00126E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Ⅳ-6 波段位置判断 | 8 | 处于历史底部区间=8；中低位=6；中部=3；中高位=1；顶部=0 | | |</w:t>
      </w:r>
    </w:p>
    <w:p w14:paraId="0D41B8B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Ⅳ-7 DDM安全边际（基准） | 6 | 低于内在价值&gt;25%=6；10-25%=4；0-10%=2；高于=0 | | |</w:t>
      </w:r>
    </w:p>
    <w:p w14:paraId="0EAA3D4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Ⅳ-8 逆向估值隐含预期 | 4 | 偏悲观（有上行空间）=4；合理=2；偏乐观=0 | | |</w:t>
      </w:r>
    </w:p>
    <w:p w14:paraId="041D34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Ⅳ-9a 同行PE/PB相对位置 | 6 | 明显低于同行中位数=6；接近=3；高于=0 | | V2.0新增 |</w:t>
      </w:r>
    </w:p>
    <w:p w14:paraId="14852F6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Ⅳ-9b 同行股息率相对位置 | 6 | 明显高于同行中位数=6；接近=3；低于=0 | | V2.0新增 |</w:t>
      </w:r>
    </w:p>
    <w:p w14:paraId="4A9FF31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**Ⅳ模块小计** | **90** | | | |</w:t>
      </w:r>
    </w:p>
    <w:p w14:paraId="6B0389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B3C003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1D0901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B320B8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68564E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7C1C2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0310626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22B51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模块Ⅴ：海澜特殊风险因子（满分60分）</w:t>
      </w:r>
    </w:p>
    <w:p w14:paraId="270A72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CEFE2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核心问题：海澜之家有哪些独特的商业模式风险和治理风险？</w:t>
      </w:r>
    </w:p>
    <w:p w14:paraId="60DD2D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D84F31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25F23B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F9E41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Ⅴ-1 商业模式风险——加盟模式</w:t>
      </w:r>
    </w:p>
    <w:p w14:paraId="5A50BE9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EB82B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当前情况 | 风险评级 | 说明 |</w:t>
      </w:r>
    </w:p>
    <w:p w14:paraId="1E0248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3071E3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加盟商占总门店比例 | | 高/中/低 | |</w:t>
      </w:r>
    </w:p>
    <w:p w14:paraId="726F247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加盟商可退货政策 | | | 退货=存货风险留在公司 |</w:t>
      </w:r>
    </w:p>
    <w:p w14:paraId="3F47C4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加盟商质量/稳定性 | | | |</w:t>
      </w:r>
    </w:p>
    <w:p w14:paraId="24FD90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同店销售增速（若可得） | | | |</w:t>
      </w:r>
    </w:p>
    <w:p w14:paraId="284816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线上vs线下渠道迁移 | | | |</w:t>
      </w:r>
    </w:p>
    <w:p w14:paraId="50D49D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渠道效率是否在提升 | | | |</w:t>
      </w:r>
    </w:p>
    <w:p w14:paraId="6642096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094DFA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E54D0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CC112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Ⅴ-2 品牌风险</w:t>
      </w:r>
    </w:p>
    <w:p w14:paraId="6DABFD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E4D60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当前情况 | 风险评级 | 说明 |</w:t>
      </w:r>
    </w:p>
    <w:p w14:paraId="3490BA3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2EB2E7E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品牌定位老化风险 | | 高/中/低 | 消费者年龄结构 |</w:t>
      </w:r>
    </w:p>
    <w:p w14:paraId="16DD7F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品牌升级/年轻化措施 | | | |</w:t>
      </w:r>
    </w:p>
    <w:p w14:paraId="028C476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竞争格局变化（优衣库/UR/快时尚） | | | |</w:t>
      </w:r>
    </w:p>
    <w:p w14:paraId="49FB659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多品牌战略进展 | | | |</w:t>
      </w:r>
    </w:p>
    <w:p w14:paraId="62E3E15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消费者口碑/NPS | | | |</w:t>
      </w:r>
    </w:p>
    <w:p w14:paraId="0118B07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F3F5B1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14362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ECC2D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Ⅴ-3 治理与控股股东风险</w:t>
      </w:r>
    </w:p>
    <w:p w14:paraId="02C0CF2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FBDB0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当前情况 | 风险评级 | 说明 |</w:t>
      </w:r>
    </w:p>
    <w:p w14:paraId="0E44584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4803A7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控股股东持股比例 | | | |</w:t>
      </w:r>
    </w:p>
    <w:p w14:paraId="1532E6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控股股东股权质押比例 | | 高/中/低 | 质押高→分红压力 |</w:t>
      </w:r>
    </w:p>
    <w:p w14:paraId="75702EC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控股股东是否有其他负债/产业 | | | |</w:t>
      </w:r>
    </w:p>
    <w:p w14:paraId="6CBC77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关联交易规模/占比 | | | |</w:t>
      </w:r>
    </w:p>
    <w:p w14:paraId="792BC4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管理层/实控人变更风险 | | | |</w:t>
      </w:r>
    </w:p>
    <w:p w14:paraId="4550B5F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独立董事履职质量 | | | |</w:t>
      </w:r>
    </w:p>
    <w:p w14:paraId="088A78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信息披露质量 | | | |</w:t>
      </w:r>
    </w:p>
    <w:p w14:paraId="5529768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E7C743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6BDDC0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34EE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Ⅴ-4 行业与宏观风险</w:t>
      </w:r>
    </w:p>
    <w:p w14:paraId="777A6F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CD34A6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当前情况 | 风险评级 | 说明 |</w:t>
      </w:r>
    </w:p>
    <w:p w14:paraId="218FF6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427AB27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消费降级对海澜的影响 | | 高/中/低 | |</w:t>
      </w:r>
    </w:p>
    <w:p w14:paraId="0C9CE8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人口结构变化（男性着装需求） | | | |</w:t>
      </w:r>
    </w:p>
    <w:p w14:paraId="3C8D796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电商冲击 | | | |</w:t>
      </w:r>
    </w:p>
    <w:p w14:paraId="0D6BB5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原材料成本波动 | | | |</w:t>
      </w:r>
    </w:p>
    <w:p w14:paraId="343D62C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租金/人力成本压力 | | | |</w:t>
      </w:r>
    </w:p>
    <w:p w14:paraId="02F6539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6139F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481EA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F2B42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Ⅴ-5 ESG / 政策风险</w:t>
      </w:r>
    </w:p>
    <w:p w14:paraId="29E310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99EDA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情况 | 说明 |</w:t>
      </w:r>
    </w:p>
    <w:p w14:paraId="2DD9EA5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7DF3DC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环保合规 | | |</w:t>
      </w:r>
    </w:p>
    <w:p w14:paraId="640DF8E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供应链劳工风险 | | |</w:t>
      </w:r>
    </w:p>
    <w:p w14:paraId="7483A5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税收优惠依赖 | | |</w:t>
      </w:r>
    </w:p>
    <w:p w14:paraId="4380BB7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地方政府支持度 | | |</w:t>
      </w:r>
    </w:p>
    <w:p w14:paraId="3469D08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C03346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77BA8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99BDC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Ⅴ 模块评分（60分，逆向评分：风险越低得分越高）</w:t>
      </w:r>
    </w:p>
    <w:p w14:paraId="1A5D4CF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B967BA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6C37B8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167E8F0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Ⅴ-1a 加盟模式退货风险 | 10 | 无退货机制或公司已消化=10；有退货但可控=6；退货严重挤压FCF=2 | | |</w:t>
      </w:r>
    </w:p>
    <w:p w14:paraId="1E3CE81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Ⅴ-1b 渠道效率趋势 | 6 | 单店营收提升=6；稳定=3；下滑=0 | | |</w:t>
      </w:r>
    </w:p>
    <w:p w14:paraId="2A60E3F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Ⅴ-2a 品牌老化风险 | 10 | 品牌年轻化成功/无老化=10；正在转型=6；明显老化=2 | | |</w:t>
      </w:r>
    </w:p>
    <w:p w14:paraId="53E8E2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Ⅴ-2b 竞争格局 | 6 | 竞争格局稳定/份额提升=6；稳定=3；份额流失=0 | | |</w:t>
      </w:r>
    </w:p>
    <w:p w14:paraId="105437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Ⅴ-3a 控股股东质押风险 | 10 | 质押&lt;10%=10；10-30%=7；30-50%=4；&gt;50%=1 | | |</w:t>
      </w:r>
    </w:p>
    <w:p w14:paraId="59F2670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Ⅴ-3b 关联交易与治理 | 6 | 关联交易&lt;5%且治理良好=6；中等=3；问题较多=0 | | |</w:t>
      </w:r>
    </w:p>
    <w:p w14:paraId="260C2EB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Ⅴ-4 消费环境与行业风险 | 8 | 消费向好+行业稳定=8；中性=4；消费走弱+行业下行=0 | | |</w:t>
      </w:r>
    </w:p>
    <w:p w14:paraId="1B108B6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Ⅴ-5 ESG/政策风险 | 4 | 无重大风险=4；有潜在风险=2；已暴露风险=0 | | |</w:t>
      </w:r>
    </w:p>
    <w:p w14:paraId="1D3BB4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**Ⅴ模块小计** | **60** | | | |</w:t>
      </w:r>
    </w:p>
    <w:p w14:paraId="5F2ED9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BBA568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0D5BDB1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95664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F22ADA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1A4041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D6845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B0EC33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模块Ⅵ：资本配置与股东回报效率（满分50分）</w:t>
      </w:r>
    </w:p>
    <w:p w14:paraId="3D3DBD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FF14B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**V2.0改动**：满分从40提升至50，权重从5%提至7%，新增Ⅵ-5多品牌/新业务资本配置效果定性评估。</w:t>
      </w:r>
    </w:p>
    <w:p w14:paraId="078110B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59B3BC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3E30EE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874A6A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Ⅵ-1 资本配置历史（5年）</w:t>
      </w:r>
    </w:p>
    <w:p w14:paraId="2C4CA9F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5AF078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年度资本配置追踪</w:t>
      </w:r>
    </w:p>
    <w:p w14:paraId="023732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AEB0BB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2021 | 2022 | 2023 | 2024 | 2025 | 5年均值 |</w:t>
      </w:r>
    </w:p>
    <w:p w14:paraId="3870FF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</w:t>
      </w:r>
    </w:p>
    <w:p w14:paraId="43EAADA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OCF（亿元） | | | | | | |</w:t>
      </w:r>
    </w:p>
    <w:p w14:paraId="14D6A8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Capex（亿元） | | | | | | |</w:t>
      </w:r>
    </w:p>
    <w:p w14:paraId="1B3AC7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FCF（亿元） | | | | | | |</w:t>
      </w:r>
    </w:p>
    <w:p w14:paraId="6C1AF2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分红（亿元） | | | | | | |</w:t>
      </w:r>
    </w:p>
    <w:p w14:paraId="3B91E7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回购（亿元） | | | | | | |</w:t>
      </w:r>
    </w:p>
    <w:p w14:paraId="10DDDAB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并购/投资（亿元） | | | | | | |</w:t>
      </w:r>
    </w:p>
    <w:p w14:paraId="0E2333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净增/减现金 | | | | | | |</w:t>
      </w:r>
    </w:p>
    <w:p w14:paraId="071691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6D618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资本配置比例（OCF=100%）</w:t>
      </w:r>
    </w:p>
    <w:p w14:paraId="313DFE7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8CBF98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Capex占比 | 分红占比 | 回购占比 | 投资占比 | 剩余占比 |</w:t>
      </w:r>
    </w:p>
    <w:p w14:paraId="43E780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</w:t>
      </w:r>
    </w:p>
    <w:p w14:paraId="0735FA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2023 | | | | | |</w:t>
      </w:r>
    </w:p>
    <w:p w14:paraId="0A6ED5F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2024 | | | | | |</w:t>
      </w:r>
    </w:p>
    <w:p w14:paraId="2A32E1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2025 | | | | | |</w:t>
      </w:r>
    </w:p>
    <w:p w14:paraId="472254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3年均值 | | | | | |</w:t>
      </w:r>
    </w:p>
    <w:p w14:paraId="3C85E7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F3A723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C6B8C2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E41E1D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Ⅵ-2 综合股东回报（分红+回购）</w:t>
      </w:r>
    </w:p>
    <w:p w14:paraId="61B45DC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CFB47B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2021 | 2022 | 2023 | 2024 | 2025 | 当前TTM |</w:t>
      </w:r>
    </w:p>
    <w:p w14:paraId="5EC2C14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</w:t>
      </w:r>
    </w:p>
    <w:p w14:paraId="3F2F2F9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分红总额（亿元） | | | | | | |</w:t>
      </w:r>
    </w:p>
    <w:p w14:paraId="526CC3B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回购总额（亿元） | | | | | | |</w:t>
      </w:r>
    </w:p>
    <w:p w14:paraId="73B4652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合计股东回报（亿元） | | | | | | |</w:t>
      </w:r>
    </w:p>
    <w:p w14:paraId="576DAB8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综合回报/市值（%） | | | | | | |</w:t>
      </w:r>
    </w:p>
    <w:p w14:paraId="1E65F56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综合回报/FCF（%） | | | | | | |</w:t>
      </w:r>
    </w:p>
    <w:p w14:paraId="48EA2B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35AEB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DCC98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64E77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Ⅵ-3 股本变化</w:t>
      </w:r>
    </w:p>
    <w:p w14:paraId="4E6CE9E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D6FCB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年份 | 2020 | 2021 | 2022 | 2023 | 2024 | 2025 | 当前 |</w:t>
      </w:r>
    </w:p>
    <w:p w14:paraId="775064C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|---|---:|---:|---:|---:|---:|---:|---:|</w:t>
      </w:r>
    </w:p>
    <w:p w14:paraId="2D93D44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总股本（亿股） | | | | | | | |</w:t>
      </w:r>
    </w:p>
    <w:p w14:paraId="3FF85C5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YoY变化（%） | | | | | | | |</w:t>
      </w:r>
    </w:p>
    <w:p w14:paraId="3B1CEBB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年度回购注销股数 | | | | | | | |</w:t>
      </w:r>
    </w:p>
    <w:p w14:paraId="7362B7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EA2A81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082DC3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639AE4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Ⅵ-4 轻重资产分析</w:t>
      </w:r>
    </w:p>
    <w:p w14:paraId="1DBB1D0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40EDC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数值 | 结论 |</w:t>
      </w:r>
    </w:p>
    <w:p w14:paraId="71A1E13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684BAC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Capex/营收（%） | | |</w:t>
      </w:r>
    </w:p>
    <w:p w14:paraId="7DD5778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Capex/OCF（%） | | |</w:t>
      </w:r>
    </w:p>
    <w:p w14:paraId="420ECF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维护性Capex vs 扩张性Capex | | |</w:t>
      </w:r>
    </w:p>
    <w:p w14:paraId="3D77CE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固定资产/总资产（%） | | |</w:t>
      </w:r>
    </w:p>
    <w:p w14:paraId="46B80D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轻重资产属性 | 轻资产 / 中等 / 重资产 | |</w:t>
      </w:r>
    </w:p>
    <w:p w14:paraId="475D1D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90C56D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E65C5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C3FE3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Ⅵ-5 多品牌/新业务资本配置效果（V2.0新增）</w:t>
      </w:r>
    </w:p>
    <w:p w14:paraId="29A16C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4B32D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**为什么需要**：海澜过去数年扩张多品牌（OVV、黑鲸、男生女生、圣凯诺等）并进入京东奥莱/阿迪下沉渠道，这些投入是否产生回报直接影响FCF可分配量。</w:t>
      </w:r>
    </w:p>
    <w:p w14:paraId="31232C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685B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品牌/业务 | 累计投入估算（亿） | 当前营收贡献（亿） | 当前盈利状态 | ROI定性评估 |</w:t>
      </w:r>
    </w:p>
    <w:p w14:paraId="6B88AF1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|---|---:|---:|---|---|</w:t>
      </w:r>
    </w:p>
    <w:p w14:paraId="49B66BB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OVV（女装） | | | 盈利 / 盈亏平衡 / 亏损 | 成功 / 一般 / 失败 |</w:t>
      </w:r>
    </w:p>
    <w:p w14:paraId="6B998F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黑鲸（年轻线） | | | | |</w:t>
      </w:r>
    </w:p>
    <w:p w14:paraId="159243B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男生女生（童装，已剥离？） | | | | |</w:t>
      </w:r>
    </w:p>
    <w:p w14:paraId="1D13641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圣凯诺（职业装） | | | | |</w:t>
      </w:r>
    </w:p>
    <w:p w14:paraId="7DCF71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斯搏兹/阿迪下沉渠道 | | | | |</w:t>
      </w:r>
    </w:p>
    <w:p w14:paraId="144E6B1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京东奥莱 | | | | |</w:t>
      </w:r>
    </w:p>
    <w:p w14:paraId="56C694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海外市场 | | | | |</w:t>
      </w:r>
    </w:p>
    <w:p w14:paraId="1114627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5F729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多品牌/新业务总结</w:t>
      </w:r>
    </w:p>
    <w:p w14:paraId="258F405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3390A4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结论 |</w:t>
      </w:r>
    </w:p>
    <w:p w14:paraId="69920B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6468F16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整体资本配置效率 | 高效 / 中性 / 低效 / 烧钱 |</w:t>
      </w:r>
    </w:p>
    <w:p w14:paraId="7AF3E61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是否在消耗主品牌FCF | 是 / 否 |</w:t>
      </w:r>
    </w:p>
    <w:p w14:paraId="2A54BB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新业务是否有成为第二增长曲线的可能 | 是 / 不确定 / 否 |</w:t>
      </w:r>
    </w:p>
    <w:p w14:paraId="29B6DC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建议：应继续扩张还是聚焦分红 | |</w:t>
      </w:r>
    </w:p>
    <w:p w14:paraId="4C5324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6C9BD1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C0929D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33B02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Ⅵ 模块评分（50分）</w:t>
      </w:r>
    </w:p>
    <w:p w14:paraId="7EC52DD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303A9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5EDB1B1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7FD3AA3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Ⅵ-1a 分红+回购合计&lt;FCF的80% | 8 | 是=8；80-100%=5；&gt;100%=2 | | |</w:t>
      </w:r>
    </w:p>
    <w:p w14:paraId="531E767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Ⅵ-1b 资本配置合理性（有无浪费性投资） | 6 | 无浪费性投资=6；有少量=3；有大额低效投资=0 | | |</w:t>
      </w:r>
    </w:p>
    <w:p w14:paraId="1995351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Ⅵ-2 综合股东回报率水平 | 8 | &gt;7%=8；5-7%=6；3-5%=4；&lt;3%=1 | | |</w:t>
      </w:r>
    </w:p>
    <w:p w14:paraId="6FB9771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Ⅵ-3 股本是否稳定/减少 | 6 | 持续减少（回购注销）=6；稳定=4；增加=1 | | |</w:t>
      </w:r>
    </w:p>
    <w:p w14:paraId="519226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Ⅵ-4 轻资产属性 | 8 | Capex/营收&lt;5%=8；5-8%=5；8-12%=3；&gt;12%=0 | | |</w:t>
      </w:r>
    </w:p>
    <w:p w14:paraId="64C59E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Ⅵ-5a 多品牌/新业务整体ROI | 8 | 整体贡献利润=8；盈亏平衡=5；消耗FCF=2；严重烧钱=0 | | V2.0新增 |</w:t>
      </w:r>
    </w:p>
    <w:p w14:paraId="65AA70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Ⅵ-5b 新业务是否侵蚀分红能力 | 6 | 未侵蚀=6；轻微影响=3；明显侵蚀=0 | | V2.0新增 |</w:t>
      </w:r>
    </w:p>
    <w:p w14:paraId="34416B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**Ⅵ模块小计** | **50** | | | |</w:t>
      </w:r>
    </w:p>
    <w:p w14:paraId="555D2F7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1E00D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2209F3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79100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52A785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D7524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6AC469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FD75E5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模块Ⅶ：波段择时信号、催化剂与税后收益（满分50分）</w:t>
      </w:r>
    </w:p>
    <w:p w14:paraId="275E2AA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60C4B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**V2.0改动**：</w:t>
      </w:r>
    </w:p>
    <w:p w14:paraId="59A9A59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1. 满分从40提升至50，权重从5%提至8%</w:t>
      </w:r>
    </w:p>
    <w:p w14:paraId="3CFC33F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2. 新增Ⅶ-5税后实际收益计算——波段策略触发更高分红税率，这一矛盾必须量化</w:t>
      </w:r>
    </w:p>
    <w:p w14:paraId="613A50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04E89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17FD5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B10142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Ⅶ-1 技术面波段位置</w:t>
      </w:r>
    </w:p>
    <w:p w14:paraId="4C7448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4F4B57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当前值 | 信号 |</w:t>
      </w:r>
    </w:p>
    <w:p w14:paraId="3E15B18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</w:t>
      </w:r>
    </w:p>
    <w:p w14:paraId="5D2C653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当前股价 | | |</w:t>
      </w:r>
    </w:p>
    <w:p w14:paraId="5062AB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52周高点 | | |</w:t>
      </w:r>
    </w:p>
    <w:p w14:paraId="22C44BA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52周低点 | | |</w:t>
      </w:r>
    </w:p>
    <w:p w14:paraId="746A4B1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当前价位在52周区间的位置（%） | | 0%=52周低点，100%=52周高点 |</w:t>
      </w:r>
    </w:p>
    <w:p w14:paraId="099FA7D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距52周低点的涨幅 | | |</w:t>
      </w:r>
    </w:p>
    <w:p w14:paraId="0A0771D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距52周高点的跌幅 | | |</w:t>
      </w:r>
    </w:p>
    <w:p w14:paraId="332631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200日均线 | | 在上方/下方 |</w:t>
      </w:r>
    </w:p>
    <w:p w14:paraId="07D029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60日均线 | | |</w:t>
      </w:r>
    </w:p>
    <w:p w14:paraId="7ED1205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RSI（14日） | | &gt;70超买；&lt;30超卖 |</w:t>
      </w:r>
    </w:p>
    <w:p w14:paraId="7C5589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成交量（20日均量 vs 60日均量） | | 放量/缩量 |</w:t>
      </w:r>
    </w:p>
    <w:p w14:paraId="593860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F98DCA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1305BE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2BBBD4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Ⅶ-2 近期催化剂追踪</w:t>
      </w:r>
    </w:p>
    <w:p w14:paraId="549448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A031C4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催化剂类型 | 具体事件 | 预期时间 | 影响方向 | 影响程度 |</w:t>
      </w:r>
    </w:p>
    <w:p w14:paraId="061D273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|---|---|---|---|---|</w:t>
      </w:r>
    </w:p>
    <w:p w14:paraId="4438B1F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分红相关 | 年度分红方案公告 / 中期分红 | | 正面/中性/负面 | 大/中/小 |</w:t>
      </w:r>
    </w:p>
    <w:p w14:paraId="0600048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业绩相关 | 季报/半年报/年报 | | | |</w:t>
      </w:r>
    </w:p>
    <w:p w14:paraId="2E7AFA6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政策相关 | 新国九条/分红税/消费政策 | | | |</w:t>
      </w:r>
    </w:p>
    <w:p w14:paraId="7F00CA4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品牌相关 | 新品发布/品牌合作/代言人 | | | |</w:t>
      </w:r>
    </w:p>
    <w:p w14:paraId="430F286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新业务相关 | 京东奥莱扩张/阿迪下沉进展 | | | |</w:t>
      </w:r>
    </w:p>
    <w:p w14:paraId="1D604B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行业相关 | 消费数据/行业数据 | | | |</w:t>
      </w:r>
    </w:p>
    <w:p w14:paraId="4AD779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股东相关 | 增减持/回购/解禁 | | | |</w:t>
      </w:r>
    </w:p>
    <w:p w14:paraId="3A77C6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其他 | | | | |</w:t>
      </w:r>
    </w:p>
    <w:p w14:paraId="0EF33E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CE3C41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08337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BC0DF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Ⅶ-3 买入/卖出信号检查清单</w:t>
      </w:r>
    </w:p>
    <w:p w14:paraId="74EC18F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F9FBD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买入信号（多条满足时买入信号增强）</w:t>
      </w:r>
    </w:p>
    <w:p w14:paraId="454CD6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119EC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买入信号 | 当前是否满足 | 备注 |</w:t>
      </w:r>
    </w:p>
    <w:p w14:paraId="3DAE02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2DDE65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股息率&gt;5%（历史高位） | 是 / 否 | |</w:t>
      </w:r>
    </w:p>
    <w:p w14:paraId="4F1039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PE&lt;10x或处于&lt;25%分位 | 是 / 否 | |</w:t>
      </w:r>
    </w:p>
    <w:p w14:paraId="7BF44AC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PB&lt;历史25%分位 | 是 / 否 | |</w:t>
      </w:r>
    </w:p>
    <w:p w14:paraId="1FA08C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股价在200日均线下方 | 是 / 否 | |</w:t>
      </w:r>
    </w:p>
    <w:p w14:paraId="3DA8236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RSI&lt;35（超卖区域） | 是 / 否 | |</w:t>
      </w:r>
    </w:p>
    <w:p w14:paraId="3F23A52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FCF覆盖分红&gt;150% | 是 / 否 | |</w:t>
      </w:r>
    </w:p>
    <w:p w14:paraId="0396943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管理层宣布增持/回购 | 是 / 否 | |</w:t>
      </w:r>
    </w:p>
    <w:p w14:paraId="54DB962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即将进入分红季/除权前 | 是 / 否 | |</w:t>
      </w:r>
    </w:p>
    <w:p w14:paraId="5BB6C9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✅ 行业/消费政策利好 | 是 / 否 | |</w:t>
      </w:r>
    </w:p>
    <w:p w14:paraId="3211416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买入信号强度（满足几条） | /9 | |</w:t>
      </w:r>
    </w:p>
    <w:p w14:paraId="70E04A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F188D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卖出/减仓信号</w:t>
      </w:r>
    </w:p>
    <w:p w14:paraId="36EA480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C09305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卖出信号 | 当前是否满足 | 备注 |</w:t>
      </w:r>
    </w:p>
    <w:p w14:paraId="7B4594F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162B56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股息率&lt;3%（历史低位，股价偏高） | 是 / 否 | |</w:t>
      </w:r>
    </w:p>
    <w:p w14:paraId="3F35CC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PE&gt;15x或处于&gt;75%分位 | 是 / 否 | |</w:t>
      </w:r>
    </w:p>
    <w:p w14:paraId="586697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RSI&gt;70（超买） | 是 / 否 | |</w:t>
      </w:r>
    </w:p>
    <w:p w14:paraId="59DE5D6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存货/营收明显恶化 | 是 / 否 | |</w:t>
      </w:r>
    </w:p>
    <w:p w14:paraId="2EC1DC2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分红削减或指引变差 | 是 / 否 | |</w:t>
      </w:r>
    </w:p>
    <w:p w14:paraId="4D6818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控股股东大额减持 | 是 / 否 | |</w:t>
      </w:r>
    </w:p>
    <w:p w14:paraId="6EFA430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⛔ 业绩连续2季度不及预期 | 是 / 否 | |</w:t>
      </w:r>
    </w:p>
    <w:p w14:paraId="3A951D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卖出信号强度（满足几条） | /7 | |</w:t>
      </w:r>
    </w:p>
    <w:p w14:paraId="1B68C8A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0FE546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5E24D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F4929E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Ⅶ-4 历史波段收益回测</w:t>
      </w:r>
    </w:p>
    <w:p w14:paraId="55E9266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F5815A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 | 买入条件 | 卖出条件 | 历史触发次数 | 平均持有期 | 平均年化回报（含股息） |</w:t>
      </w:r>
    </w:p>
    <w:p w14:paraId="2C497BC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|---|---|---|---:|---|---:|</w:t>
      </w:r>
    </w:p>
    <w:p w14:paraId="1623610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策略A | 股息率&gt;5% | 股息率&lt;3% | | | |</w:t>
      </w:r>
    </w:p>
    <w:p w14:paraId="05E871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策略B | 股息率&gt;6% | 股息率&lt;3.5% | | | |</w:t>
      </w:r>
    </w:p>
    <w:p w14:paraId="6FCD9A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策略C | PE&lt;8x | PE&gt;14x | | | |</w:t>
      </w:r>
    </w:p>
    <w:p w14:paraId="4376FB3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策略D | PB&lt;最低20%分位 | PB&gt;50%分位 | | | |</w:t>
      </w:r>
    </w:p>
    <w:p w14:paraId="33075CD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4FA6FF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E08AC0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94303A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Ⅶ-5 税后实际收益测算（V2.0新增）</w:t>
      </w:r>
    </w:p>
    <w:p w14:paraId="1F25B4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175E32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**为什么需要**：A股分红税制对持股周期敏感。持股&lt;1个月分红税率20%，1个月-1年税率10%，&gt;1年免税。波段策略的本质是缩短持股周期，这与高股息策略天然矛盾。必须算清楚税后到手多少。</w:t>
      </w:r>
    </w:p>
    <w:p w14:paraId="4DAA944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90269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不同持股周期的税后综合回报</w:t>
      </w:r>
    </w:p>
    <w:p w14:paraId="100E8BE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7AE8A9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持股周期 | 分红税率 | 假设税前股息率 | 税后股息率 | 假设波段价差 | 综合税后年化回报 |</w:t>
      </w:r>
    </w:p>
    <w:p w14:paraId="76AAEF1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|---|---:|---:|---:|---:|---:|</w:t>
      </w:r>
    </w:p>
    <w:p w14:paraId="27D2C86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&lt;1个月（短线波段） | 20% | | | | |</w:t>
      </w:r>
    </w:p>
    <w:p w14:paraId="30B46C7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1-12个月（中期波段） | 10% | | | | |</w:t>
      </w:r>
    </w:p>
    <w:p w14:paraId="465D34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&gt;1年（长期持有） | 0% | | | | |</w:t>
      </w:r>
    </w:p>
    <w:p w14:paraId="737E70F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EA301A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策略对比结论</w:t>
      </w:r>
    </w:p>
    <w:p w14:paraId="0DAF83B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08021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结论 |</w:t>
      </w:r>
    </w:p>
    <w:p w14:paraId="65E396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4C898AF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波段策略（中期持有6-12个月）的税后回报是否优于长期持有收息 | |</w:t>
      </w:r>
    </w:p>
    <w:p w14:paraId="59E3317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最优持股策略建议 | |</w:t>
      </w:r>
    </w:p>
    <w:p w14:paraId="184AD39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分红税对策略的实际影响幅度（pct） | |</w:t>
      </w:r>
    </w:p>
    <w:p w14:paraId="70AB5C5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61D65E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17A9A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6DB75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Ⅶ 模块评分（50分）</w:t>
      </w:r>
    </w:p>
    <w:p w14:paraId="4FAB90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4763EC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子项 | 满分 | 评分标准 | 得分 | 备注 |</w:t>
      </w:r>
    </w:p>
    <w:p w14:paraId="1C5F8BB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|---|---:|---|---:|---|</w:t>
      </w:r>
    </w:p>
    <w:p w14:paraId="71E8103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Ⅶ-1 技术面波段位置 | 10 | 处于低位区间（52周&lt;30%位置+RSI&lt;40）=10；中低位=7；中部=4；高位=1 | | |</w:t>
      </w:r>
    </w:p>
    <w:p w14:paraId="0DD326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Ⅶ-2 近期催化剂数量与方向 | 10 | ≥3个正面催化剂=10；2个=7；1个=4；无=1；有负面=-3 | | |</w:t>
      </w:r>
    </w:p>
    <w:p w14:paraId="1614B0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Ⅶ-3a 买入信号满足数量 | 10 | ≥7条=10；5-6条=7；3-4条=5；1-2条=2；0条=0 | | |</w:t>
      </w:r>
    </w:p>
    <w:p w14:paraId="198A4EC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Ⅶ-3b 卖出信号是否触发 | 8 | 0条触发=8；1条=5；2条=2；≥3条=0 | | |</w:t>
      </w:r>
    </w:p>
    <w:p w14:paraId="722AF4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Ⅶ-5 税后综合回报吸引力 | 12 | 最优策略税后年化&gt;8%=12；6-8%=9；4-6%=5；&lt;4%=2 | | V2.0新增，权重高 |</w:t>
      </w:r>
    </w:p>
    <w:p w14:paraId="64D89F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**Ⅶ模块小计** | **50** | | | |</w:t>
      </w:r>
    </w:p>
    <w:p w14:paraId="6FB77E4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45374E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备注/异常说明：</w:t>
      </w:r>
    </w:p>
    <w:p w14:paraId="31E8ED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22F6C5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F8D0F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66BB10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24E65E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3D13B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【综合评分汇总】</w:t>
      </w:r>
    </w:p>
    <w:p w14:paraId="0A81022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B67E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原始得分汇总</w:t>
      </w:r>
    </w:p>
    <w:p w14:paraId="496297E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7A76FB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模块 | 模块内容 | 满分 | 原始得分 | 得分率（%） |</w:t>
      </w:r>
    </w:p>
    <w:p w14:paraId="7C975C0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|---|---|---:|---:|---:|</w:t>
      </w:r>
    </w:p>
    <w:p w14:paraId="06D4904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 | 分红历史、政策与可持续性定性 | 70 | | |</w:t>
      </w:r>
    </w:p>
    <w:p w14:paraId="6585B93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 | 分红安全垫（FCF/负债表/存货） | 100 | | |</w:t>
      </w:r>
    </w:p>
    <w:p w14:paraId="72DBA80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 | 基本面稳定性 | 80 | | |</w:t>
      </w:r>
    </w:p>
    <w:p w14:paraId="21EF960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 | 估值波段位置与同行比对 | 90 | | |</w:t>
      </w:r>
    </w:p>
    <w:p w14:paraId="7DFF37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 | 海澜特殊风险因子 | 60 | | |</w:t>
      </w:r>
    </w:p>
    <w:p w14:paraId="510A73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 | 资本配置与股东回报效率 | 50 | | |</w:t>
      </w:r>
    </w:p>
    <w:p w14:paraId="2B2592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 | 波段择时信号与税后收益 | 50 | | |</w:t>
      </w:r>
    </w:p>
    <w:p w14:paraId="5778E25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**合计（原始）** | | **500** | | |</w:t>
      </w:r>
    </w:p>
    <w:p w14:paraId="5732E21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876D65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4CF31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6F3CD5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加权得分计算</w:t>
      </w:r>
    </w:p>
    <w:p w14:paraId="1B583D0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35FD0C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模块 | 权重 | 加权满分 | 原始得分率 | 加权得分 |</w:t>
      </w:r>
    </w:p>
    <w:p w14:paraId="7865DE4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|---|---:|---:|---:|---:|</w:t>
      </w:r>
    </w:p>
    <w:p w14:paraId="71790E0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 分红历史与政策 | 20% | 20 | | |</w:t>
      </w:r>
    </w:p>
    <w:p w14:paraId="212BB3C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 分红安全垫 | 20% | 20 | | |</w:t>
      </w:r>
    </w:p>
    <w:p w14:paraId="1BC9D0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 基本面稳定性 | 20% | 20 | | |</w:t>
      </w:r>
    </w:p>
    <w:p w14:paraId="366870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 估值波段与同行比对 | 15% | 15 | | |</w:t>
      </w:r>
    </w:p>
    <w:p w14:paraId="70CEDA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 特殊风险因子 | 10% | 10 | | |</w:t>
      </w:r>
    </w:p>
    <w:p w14:paraId="01148FA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 资本配置效率 | 7% | 7 | | |</w:t>
      </w:r>
    </w:p>
    <w:p w14:paraId="72B966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 波段择时与税后收益 | 8% | 8 | | |</w:t>
      </w:r>
    </w:p>
    <w:p w14:paraId="5B93B33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**加权总分** | **100%** | **100** | | |</w:t>
      </w:r>
    </w:p>
    <w:p w14:paraId="70496AF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E1DB00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CEB39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26C8AC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综合评级标准（海澜之家专属）</w:t>
      </w:r>
    </w:p>
    <w:p w14:paraId="29D23B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2859D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总分 | 评级 | 含义 | 建议动作 |</w:t>
      </w:r>
    </w:p>
    <w:p w14:paraId="12B34D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|---:|---|---|---|</w:t>
      </w:r>
    </w:p>
    <w:p w14:paraId="385E0CF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85 - 100 | ⭐⭐⭐⭐⭐ 极佳买入区间 | 分红安全+估值极低+波段底部，罕见机会 | 重仓买入，长期持有收息 |</w:t>
      </w:r>
    </w:p>
    <w:p w14:paraId="616814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70 - 84 | ⭐⭐⭐⭐ 良好买入区间 | 分红可靠+估值合理偏低，值得建仓 | 分批建仓 |</w:t>
      </w:r>
    </w:p>
    <w:p w14:paraId="73B43A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60 - 69 | ⭐⭐⭐ 中性持有区间 | 分红尚可+估值中性，持有收息可以 | 持有不加仓 |</w:t>
      </w:r>
    </w:p>
    <w:p w14:paraId="66C375A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50 - 59 | ⭐⭐ 偏贵/风险偏高 | 估值偏高或风险暴露，收益风险比不佳 | 减仓或观望 |</w:t>
      </w:r>
    </w:p>
    <w:p w14:paraId="4161177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40 - 49 | ⭐ 卖出区间 | 估值偏贵+风险上升+分红可能不可持续 | 卖出 |</w:t>
      </w:r>
    </w:p>
    <w:p w14:paraId="48F9D66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&lt; 40 | 远离 | 基本面恶化+分红不安全 | 清仓 |</w:t>
      </w:r>
    </w:p>
    <w:p w14:paraId="636250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012914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179A43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995811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2363EE9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8085DC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【红旗警示系统——海澜之家专属 V2.0】</w:t>
      </w:r>
    </w:p>
    <w:p w14:paraId="56CD7C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1E423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V2.0新增"估值红旗"类别</w:t>
      </w:r>
    </w:p>
    <w:p w14:paraId="0AA101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D507F5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分红红旗</w:t>
      </w:r>
    </w:p>
    <w:p w14:paraId="59D030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E09B50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 | 是否触发 | 说明 |</w:t>
      </w:r>
    </w:p>
    <w:p w14:paraId="267301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0271B14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FCF派息率&gt;100%（当年分红超过FCF） | 是 / 否 | |</w:t>
      </w:r>
    </w:p>
    <w:p w14:paraId="608B494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连续2年FCF&lt;分红总额 | 是 / 否 | |</w:t>
      </w:r>
    </w:p>
    <w:p w14:paraId="2297C97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DPS同比下降（分红削减） | 是 / 否 | |</w:t>
      </w:r>
    </w:p>
    <w:p w14:paraId="57B1B71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派息率&gt;85%且利润在下滑 | 是 / 否 | |</w:t>
      </w:r>
    </w:p>
    <w:p w14:paraId="0E3DD4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管理层暗示分红政策可能调整 | 是 / 否 | |</w:t>
      </w:r>
    </w:p>
    <w:p w14:paraId="0F103E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F68EB6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存货红旗</w:t>
      </w:r>
    </w:p>
    <w:p w14:paraId="272A22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85A875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 | 是否触发 | 说明 |</w:t>
      </w:r>
    </w:p>
    <w:p w14:paraId="66464D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01394D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存货/营收&gt;60%且持续上升 | 是 / 否 | |</w:t>
      </w:r>
    </w:p>
    <w:p w14:paraId="3FAF93A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存货周转天数&gt;200天且恶化 | 是 / 否 | |</w:t>
      </w:r>
    </w:p>
    <w:p w14:paraId="087C57F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存货增速&gt;营收增速×1.5 | 是 / 否 | |</w:t>
      </w:r>
    </w:p>
    <w:p w14:paraId="438EF96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存货跌价准备大幅增加（&gt;50%YoY） | 是 / 否 | |</w:t>
      </w:r>
    </w:p>
    <w:p w14:paraId="6D9B8B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库存商品中高账龄（&gt;2年）占比&gt;30% | 是 / 否 | |</w:t>
      </w:r>
    </w:p>
    <w:p w14:paraId="42BE8EE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0D58C6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治理红旗</w:t>
      </w:r>
    </w:p>
    <w:p w14:paraId="2C85D23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7927C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 | 是否触发 | 说明 |</w:t>
      </w:r>
    </w:p>
    <w:p w14:paraId="649DAE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47C440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控股股东质押比例&gt;50% | 是 / 否 | |</w:t>
      </w:r>
    </w:p>
    <w:p w14:paraId="35F4FE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大额关联交易（&gt;营收5%） | 是 / 否 | |</w:t>
      </w:r>
    </w:p>
    <w:p w14:paraId="0E16813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控股股东/实控人负面新闻 | 是 / 否 | |</w:t>
      </w:r>
    </w:p>
    <w:p w14:paraId="654CE3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审计师变更或非标审计意见 | 是 / 否 | |</w:t>
      </w:r>
    </w:p>
    <w:p w14:paraId="3466F71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417DCB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基本面红旗</w:t>
      </w:r>
    </w:p>
    <w:p w14:paraId="4A4707F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EB9715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 | 是否触发 | 说明 |</w:t>
      </w:r>
    </w:p>
    <w:p w14:paraId="42C9AE0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1F066A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营收连续3个季度同比下降&gt;10% | 是 / 否 | |</w:t>
      </w:r>
    </w:p>
    <w:p w14:paraId="4EAC50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净利率连续下滑超过5pct | 是 / 否 | |</w:t>
      </w:r>
    </w:p>
    <w:p w14:paraId="5634F13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OCF/净利润&lt;60%（利润含金量差） | 是 / 否 | |</w:t>
      </w:r>
    </w:p>
    <w:p w14:paraId="0857AB1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ROE&lt;10%且下滑趋势 | 是 / 否 | |</w:t>
      </w:r>
    </w:p>
    <w:p w14:paraId="646FCD1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97D860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估值红旗（V2.0新增）</w:t>
      </w:r>
    </w:p>
    <w:p w14:paraId="0B8D89D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867947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 | 是否触发 | 说明 |</w:t>
      </w:r>
    </w:p>
    <w:p w14:paraId="4F35F7B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33CA07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股息率&lt;2.5%（估值泡沫区域） | 是 / 否 | 历史上此水平通常对应波段顶部 |</w:t>
      </w:r>
    </w:p>
    <w:p w14:paraId="03E47EE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PE&gt;历史90%分位 | 是 / 否 | |</w:t>
      </w:r>
    </w:p>
    <w:p w14:paraId="4A72CFC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PB&gt;历史90%分位 | 是 / 否 | |</w:t>
      </w:r>
    </w:p>
    <w:p w14:paraId="686C4B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🚩 卖出信号≥3条同时触发 | 是 / 否 | Ⅶ-3b联动 |</w:t>
      </w:r>
    </w:p>
    <w:p w14:paraId="179882C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E4274C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红旗处理规则</w:t>
      </w:r>
    </w:p>
    <w:p w14:paraId="7E647C1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BF2E3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触发红旗数 | 处理 |</w:t>
      </w:r>
    </w:p>
    <w:p w14:paraId="69C043F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2604131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0-1个 | 正常评级 |</w:t>
      </w:r>
    </w:p>
    <w:p w14:paraId="1FDA86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2-3个 | 评级降一档，标注"需关注" |</w:t>
      </w:r>
    </w:p>
    <w:p w14:paraId="49E7865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4-5个 | 评级降两档，标注"高风险" |</w:t>
      </w:r>
    </w:p>
    <w:p w14:paraId="6934C4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≥6个 | 直接标注"远离"，无论得分多高 |</w:t>
      </w:r>
    </w:p>
    <w:p w14:paraId="6261692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3638C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4D9CD7C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0BBD73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949CD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8C0B7A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 【最终综合结论】</w:t>
      </w:r>
    </w:p>
    <w:p w14:paraId="37DB0C9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24A98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标的：海澜之家（600398）| 日期：2026.__.__ | 当前股价：______</w:t>
      </w:r>
    </w:p>
    <w:p w14:paraId="369D62F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C0714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0CD522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0987E7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综合评分概览</w:t>
      </w:r>
    </w:p>
    <w:p w14:paraId="3069BAB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EAFD4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得分 |</w:t>
      </w:r>
    </w:p>
    <w:p w14:paraId="10E66A4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|---|---:|</w:t>
      </w:r>
    </w:p>
    <w:p w14:paraId="5B4F61A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加权总分 | /100 |</w:t>
      </w:r>
    </w:p>
    <w:p w14:paraId="7DBEF2F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综合评级 | |</w:t>
      </w:r>
    </w:p>
    <w:p w14:paraId="507289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红旗触发数 | |</w:t>
      </w:r>
    </w:p>
    <w:p w14:paraId="3284887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最终评级（红旗调整后） | |</w:t>
      </w:r>
    </w:p>
    <w:p w14:paraId="4808A8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25056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39D5FE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6F756D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各模块一句话总结</w:t>
      </w:r>
    </w:p>
    <w:p w14:paraId="22E9B6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E93392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模块 | 核心结论 |</w:t>
      </w:r>
    </w:p>
    <w:p w14:paraId="4FB9256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2301932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Ⅰ 分红历史与政策 | |</w:t>
      </w:r>
    </w:p>
    <w:p w14:paraId="608020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Ⅱ 分红安全垫 | |</w:t>
      </w:r>
    </w:p>
    <w:p w14:paraId="146AE25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Ⅲ 基本面稳定性 | |</w:t>
      </w:r>
    </w:p>
    <w:p w14:paraId="277ADEA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Ⅳ 估值波段与同行比对 | |</w:t>
      </w:r>
    </w:p>
    <w:p w14:paraId="01D087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Ⅴ 特殊风险因子 | |</w:t>
      </w:r>
    </w:p>
    <w:p w14:paraId="6E9F3F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Ⅵ 资本配置效率 | |</w:t>
      </w:r>
    </w:p>
    <w:p w14:paraId="09E4D09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Ⅶ 波段择时与税后收益 | |</w:t>
      </w:r>
    </w:p>
    <w:p w14:paraId="334E247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942169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8CEBBD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0BEDA6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关键指标总览</w:t>
      </w:r>
    </w:p>
    <w:p w14:paraId="6E80004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157A6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指标 | 5年历史均值 | 当前/TTM | 评价 |</w:t>
      </w:r>
    </w:p>
    <w:p w14:paraId="29E34E8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|---|---|---|---|</w:t>
      </w:r>
    </w:p>
    <w:p w14:paraId="3B52934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股息率（%） | | | |</w:t>
      </w:r>
    </w:p>
    <w:p w14:paraId="1415457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EPS派息率（%） | | | |</w:t>
      </w:r>
    </w:p>
    <w:p w14:paraId="5BFF5DA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FCF覆盖分红倍数 | | | |</w:t>
      </w:r>
    </w:p>
    <w:p w14:paraId="132686B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毛利率（%） | | | |</w:t>
      </w:r>
    </w:p>
    <w:p w14:paraId="21DE721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净利率（%） | | | |</w:t>
      </w:r>
    </w:p>
    <w:p w14:paraId="31CD6E6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ROE（%） | | | |</w:t>
      </w:r>
    </w:p>
    <w:p w14:paraId="3E283D9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存货/营收（%） | | | |</w:t>
      </w:r>
    </w:p>
    <w:p w14:paraId="0D779E7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存货周转天数 | | | |</w:t>
      </w:r>
    </w:p>
    <w:p w14:paraId="4DB5A1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净债务/EBITDA | | | |</w:t>
      </w:r>
    </w:p>
    <w:p w14:paraId="40C6501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Trailing PE | | | |</w:t>
      </w:r>
    </w:p>
    <w:p w14:paraId="63C70A5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PB | | | |</w:t>
      </w:r>
    </w:p>
    <w:p w14:paraId="0EB4A9F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52周位置（%） | — | | |</w:t>
      </w:r>
    </w:p>
    <w:p w14:paraId="541B140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D69532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99815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AA9D6A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综合结论</w:t>
      </w:r>
    </w:p>
    <w:p w14:paraId="46BE4E6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4B0656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当前是否是买入海澜之家的好时机：</w:t>
      </w:r>
    </w:p>
    <w:p w14:paraId="15D018E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E87A60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主要优势（3-5条）：</w:t>
      </w:r>
    </w:p>
    <w:p w14:paraId="1C64158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1.</w:t>
      </w:r>
    </w:p>
    <w:p w14:paraId="122AC54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2.</w:t>
      </w:r>
    </w:p>
    <w:p w14:paraId="25B3AE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3.</w:t>
      </w:r>
    </w:p>
    <w:p w14:paraId="234FEE2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4.</w:t>
      </w:r>
    </w:p>
    <w:p w14:paraId="48EAC8A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5.</w:t>
      </w:r>
    </w:p>
    <w:p w14:paraId="616D3C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4FFA957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### 主要风险（3-5条）：</w:t>
      </w:r>
    </w:p>
    <w:p w14:paraId="0E0DCB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1.</w:t>
      </w:r>
    </w:p>
    <w:p w14:paraId="64BC67E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2.</w:t>
      </w:r>
    </w:p>
    <w:p w14:paraId="57B5818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3.</w:t>
      </w:r>
    </w:p>
    <w:p w14:paraId="526182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4.</w:t>
      </w:r>
    </w:p>
    <w:p w14:paraId="24A615B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5.</w:t>
      </w:r>
    </w:p>
    <w:p w14:paraId="1DE5A20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871B8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E800A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5558AFC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投资建议区间</w:t>
      </w:r>
    </w:p>
    <w:p w14:paraId="7DB6E2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75114D1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维度 | 内容 |</w:t>
      </w:r>
    </w:p>
    <w:p w14:paraId="7866228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24F1F9B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建议买入价格区间（基于股息率/PE） | |</w:t>
      </w:r>
    </w:p>
    <w:p w14:paraId="7BC76E5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股息率&gt;X%时为良好买入区间 | |</w:t>
      </w:r>
    </w:p>
    <w:p w14:paraId="7216293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股息率&lt;X%时为考虑卖出区间 | |</w:t>
      </w:r>
    </w:p>
    <w:p w14:paraId="5BD3D63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PE&lt;X时为良好买入区间 | |</w:t>
      </w:r>
    </w:p>
    <w:p w14:paraId="731487C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12个月目标总回报（股息+波段） | |</w:t>
      </w:r>
    </w:p>
    <w:p w14:paraId="6485BCD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建议持仓比例上限 | |</w:t>
      </w:r>
    </w:p>
    <w:p w14:paraId="5F7D90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核心持有逻辑 | |</w:t>
      </w:r>
    </w:p>
    <w:p w14:paraId="1ACE5A2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8364DE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79BE707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264EB6B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波段策略建议</w:t>
      </w:r>
    </w:p>
    <w:p w14:paraId="33EEC1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5E2E74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策略 | 具体操作 |</w:t>
      </w:r>
    </w:p>
    <w:p w14:paraId="28C8C97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</w:t>
      </w:r>
    </w:p>
    <w:p w14:paraId="4E6F817E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底仓策略 | 在股息率&gt;X%时建立底仓，长期持有收息（享受0%分红税） |</w:t>
      </w:r>
    </w:p>
    <w:p w14:paraId="0A1A0D9F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波段策略 | 股息率&gt;X%加仓，&lt;X%减仓（注意10%分红税对回报的侵蚀） |</w:t>
      </w:r>
    </w:p>
    <w:p w14:paraId="5E9086D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止损/止盈 | 止损信号 / 止盈信号 |</w:t>
      </w:r>
    </w:p>
    <w:p w14:paraId="2196214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税后最优策略 | 基于Ⅶ-5计算结果的最优持股周期建议 |</w:t>
      </w:r>
    </w:p>
    <w:p w14:paraId="3F9CF0A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40A7D1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1DD0E44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1571692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风险预案</w:t>
      </w:r>
    </w:p>
    <w:p w14:paraId="3602833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059181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情景 | 触发条件 | 应对措施 |</w:t>
      </w:r>
    </w:p>
    <w:p w14:paraId="6BFD8C7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5C4E557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分红削减 | DPS同比下降&gt;20% | |</w:t>
      </w:r>
    </w:p>
    <w:p w14:paraId="0BA4E47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存货爆雷 | 大额计提导致利润大降 | |</w:t>
      </w:r>
    </w:p>
    <w:p w14:paraId="7B904730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控股股东风险 | 质押比例突升或负面事件 | |</w:t>
      </w:r>
    </w:p>
    <w:p w14:paraId="169ABF5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消费环境恶化 | 营收连续2季度下滑&gt;15% | |</w:t>
      </w:r>
    </w:p>
    <w:p w14:paraId="22FB0DA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估值过热 | 股息率&lt;2.5%（红旗触发） | |</w:t>
      </w:r>
    </w:p>
    <w:p w14:paraId="19EE5E0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01C431B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6526806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D92DEA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## 数据来源与关键假设</w:t>
      </w:r>
    </w:p>
    <w:p w14:paraId="54ABDE9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3A1B69D3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项目 | 来源 | 关键假设说明 |</w:t>
      </w:r>
    </w:p>
    <w:p w14:paraId="4550C56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|---|---|---|</w:t>
      </w:r>
    </w:p>
    <w:p w14:paraId="4E09FE3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历史财务数据 | | |</w:t>
      </w:r>
    </w:p>
    <w:p w14:paraId="0980183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存货细节 | | |</w:t>
      </w:r>
    </w:p>
    <w:p w14:paraId="370F510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分析师预期 | | |</w:t>
      </w:r>
    </w:p>
    <w:p w14:paraId="5809207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DDM关键假设 | | |</w:t>
      </w:r>
    </w:p>
    <w:p w14:paraId="38F500FA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同行数据 | | |</w:t>
      </w:r>
    </w:p>
    <w:p w14:paraId="66495696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| 行业数据 | | |</w:t>
      </w:r>
    </w:p>
    <w:p w14:paraId="48D8D8F7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717B91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---</w:t>
      </w:r>
    </w:p>
    <w:p w14:paraId="34F0D53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p w14:paraId="6DE57B2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**框架使用说明——海澜之家专属 V2.0**</w:t>
      </w:r>
    </w:p>
    <w:p w14:paraId="03167784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</w:t>
      </w:r>
    </w:p>
    <w:p w14:paraId="473E95A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1. **核心逻辑**：这不是成长股框架，而是"高股息波段价值股"框架。不追求营收高增长，追求分红安全、估值合理、波段时机。</w:t>
      </w:r>
    </w:p>
    <w:p w14:paraId="43FF8651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2. **交叉计分已消除**：V2.0中每个数据点只在一个模块被评分。FCF安全性→Ⅱ模块；股息率估值→Ⅳ模块；Ⅰ模块纯粹看分红历史记录和政策定性。</w:t>
      </w:r>
    </w:p>
    <w:p w14:paraId="7AD47B1C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3. **股息率是最重要的估值锚**：历史上海澜的股息率波动就是股价波动的映射。股息率高=股价低=好的买点。</w:t>
      </w:r>
    </w:p>
    <w:p w14:paraId="44A810E5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4. **存货是第一风险因子**：海澜的加盟模式和服装行业属性决定了存货是命门。每次分析必须重点检查。</w:t>
      </w:r>
    </w:p>
    <w:p w14:paraId="4BC9C28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5. **控股股东依赖度是双刃剑**：海澜集团对上市公司分红的依赖程度决定了分红的刚性——这是正面因素（分红不太可能削减）也是风险因素（可能过度分红）。V2.0在Ⅰ-4b中以双刃剑方式评分。</w:t>
      </w:r>
    </w:p>
    <w:p w14:paraId="5EC2130B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6. **波段策略必须算税后**：V2.0新增Ⅶ-5模块，强制计算不同持股周期的税后综合回报。波段策略好不好看，税后才知道。</w:t>
      </w:r>
    </w:p>
    <w:p w14:paraId="4022F9B8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7. **同行比对不可或缺**：V2.0新增Ⅳ-9模块。估值高低必须横向验证，否则可能陷入"跟自己比便宜但跟同行比贵"的陷阱。</w:t>
      </w:r>
    </w:p>
    <w:p w14:paraId="2CD7FBD9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8. **红旗优先**：任何时候，红旗系统的判断优先于评分。存货爆雷、分红削减、估值泡沫均可一票否决。V2.0新增估值红旗。</w:t>
      </w:r>
    </w:p>
    <w:p w14:paraId="1CFCECE2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  <w:r>
        <w:rPr>
          <w:rFonts w:hint="eastAsia" w:eastAsia="SimSun"/>
          <w:b w:val="0"/>
          <w:bCs w:val="0"/>
          <w:lang w:val="en-US" w:eastAsia="zh-CN"/>
        </w:rPr>
        <w:t>&gt; 9. **更新频率建议**：每季报后更新存货和FCF数据；每次分红方案公告后更新分红模块；每月更新一次估值波段位置和同行比对。</w:t>
      </w:r>
    </w:p>
    <w:p w14:paraId="3B72380C">
      <w:pPr>
        <w:bidi w:val="0"/>
        <w:spacing w:line="240" w:lineRule="auto"/>
        <w:rPr>
          <w:rFonts w:hint="default" w:eastAsia="SimSun"/>
          <w:b w:val="0"/>
          <w:bCs w:val="0"/>
          <w:lang w:val="en-US" w:eastAsia="zh-CN"/>
        </w:rPr>
      </w:pPr>
    </w:p>
    <w:p w14:paraId="7F43C665">
      <w:pPr>
        <w:bidi w:val="0"/>
        <w:spacing w:line="240" w:lineRule="auto"/>
        <w:rPr>
          <w:rFonts w:hint="default" w:eastAsia="SimSun"/>
          <w:b w:val="0"/>
          <w:bCs w:val="0"/>
          <w:lang w:val="en-US" w:eastAsia="zh-CN"/>
        </w:rPr>
      </w:pPr>
    </w:p>
    <w:p w14:paraId="30687C3D">
      <w:pPr>
        <w:bidi w:val="0"/>
        <w:spacing w:line="240" w:lineRule="auto"/>
        <w:rPr>
          <w:rFonts w:hint="eastAsia" w:eastAsia="SimSun"/>
          <w:b w:val="0"/>
          <w:bCs w:val="0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204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@华文琥珀">
    <w:altName w:val="AMGD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C15AF">
    <w:pPr>
      <w:pStyle w:val="8"/>
      <w:jc w:val="center"/>
      <w:rPr>
        <w:rFonts w:hint="default" w:ascii="Times New Roman" w:hAnsi="Times New Roman" w:eastAsia="SimSun" w:cs="Times New Roman"/>
        <w:b w:val="0"/>
        <w:bCs w:val="0"/>
        <w:kern w:val="2"/>
        <w:sz w:val="36"/>
        <w:szCs w:val="36"/>
        <w:lang w:val="en-US" w:eastAsia="zh-CN" w:bidi="ar-SA"/>
      </w:rPr>
    </w:pPr>
    <w:r>
      <w:rPr>
        <w:rFonts w:hint="eastAsia" w:ascii="Times New Roman" w:hAnsi="Times New Roman" w:eastAsia="SimSun" w:cs="Times New Roman"/>
        <w:b w:val="0"/>
        <w:bCs w:val="0"/>
        <w:kern w:val="2"/>
        <w:sz w:val="36"/>
        <w:szCs w:val="36"/>
        <w:lang w:val="en-US" w:eastAsia="zh-CN" w:bidi="ar-SA"/>
      </w:rPr>
      <w:t>修炼内功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21828">
    <w:pPr>
      <w:jc w:val="center"/>
      <w:rPr>
        <w:rFonts w:hint="default" w:eastAsia="SimSun"/>
        <w:b w:val="0"/>
        <w:bCs w:val="0"/>
        <w:sz w:val="36"/>
        <w:szCs w:val="36"/>
        <w:lang w:val="en-US" w:eastAsia="zh-CN"/>
      </w:rPr>
    </w:pPr>
    <w:r>
      <w:rPr>
        <w:rFonts w:hint="default" w:eastAsia="SimSun"/>
        <w:b w:val="0"/>
        <w:bCs w:val="0"/>
        <w:sz w:val="36"/>
        <w:szCs w:val="36"/>
        <w:lang w:val="en-US" w:eastAsia="zh-CN"/>
      </w:rPr>
      <w:t>菲利普·费雪说：我不想花时间在赚取微利上</w:t>
    </w:r>
  </w:p>
  <w:p w14:paraId="7334AF41">
    <w:pPr>
      <w:jc w:val="center"/>
      <w:rPr>
        <w:rFonts w:hint="default" w:eastAsia="SimSun"/>
        <w:b w:val="0"/>
        <w:bCs w:val="0"/>
        <w:sz w:val="36"/>
        <w:szCs w:val="36"/>
        <w:lang w:val="en-US" w:eastAsia="zh-CN"/>
      </w:rPr>
    </w:pPr>
    <w:r>
      <w:rPr>
        <w:rFonts w:hint="default" w:eastAsia="SimSun"/>
        <w:b w:val="0"/>
        <w:bCs w:val="0"/>
        <w:sz w:val="36"/>
        <w:szCs w:val="36"/>
        <w:lang w:val="en-US" w:eastAsia="zh-CN"/>
      </w:rPr>
      <w:t>我想要非常，非常大的利润，并做好了为此等待的准备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968F2C"/>
    <w:multiLevelType w:val="multilevel"/>
    <w:tmpl w:val="F4968F2C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Book Antiqua" w:hAnsi="Book Antiqua" w:eastAsia="SimHei" w:cs="Book Antiqua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5CA1"/>
        <w:sz w:val="144"/>
        <w:szCs w:val="144"/>
        <w:vertAlign w:val="baseline"/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SimHei" w:cs="Book Antiqua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5CA1"/>
        <w:spacing w:val="0"/>
        <w:kern w:val="0"/>
        <w:sz w:val="36"/>
        <w:szCs w:val="36"/>
        <w:vertAlign w:val="baseline"/>
      </w:rPr>
    </w:lvl>
    <w:lvl w:ilvl="2" w:tentative="0">
      <w:start w:val="1"/>
      <w:numFmt w:val="decimal"/>
      <w:pStyle w:val="4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SimHei" w:cs="Book Antiqua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5CA1"/>
        <w:kern w:val="0"/>
        <w:sz w:val="32"/>
        <w:szCs w:val="32"/>
        <w:vertAlign w:val="baseline"/>
      </w:rPr>
    </w:lvl>
    <w:lvl w:ilvl="3" w:tentative="0">
      <w:start w:val="0"/>
      <w:numFmt w:val="none"/>
      <w:lvlRestart w:val="0"/>
      <w:pStyle w:val="13"/>
      <w:suff w:val="nothing"/>
      <w:lvlText w:val=""/>
      <w:lvlJc w:val="left"/>
      <w:pPr>
        <w:ind w:left="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4" w:tentative="0">
      <w:start w:val="1"/>
      <w:numFmt w:val="none"/>
      <w:pStyle w:val="5"/>
      <w:suff w:val="space"/>
      <w:lvlText w:val="%5"/>
      <w:lvlJc w:val="left"/>
      <w:pPr>
        <w:ind w:left="0" w:firstLine="0"/>
      </w:pPr>
      <w:rPr>
        <w:rFonts w:hint="eastAsia" w:ascii="@华文琥珀" w:hAnsi="@华文琥珀" w:eastAsia="SimHei" w:cs="Arial"/>
        <w:b/>
        <w:bCs/>
        <w:i w:val="0"/>
        <w:iCs w:val="0"/>
        <w:sz w:val="24"/>
        <w:szCs w:val="24"/>
        <w:u w:val="none"/>
      </w:rPr>
    </w:lvl>
    <w:lvl w:ilvl="5" w:tentative="0">
      <w:start w:val="1"/>
      <w:numFmt w:val="decimal"/>
      <w:pStyle w:val="14"/>
      <w:lvlText w:val="Step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SimHei" w:cs="Arial"/>
        <w:b/>
        <w:bCs/>
        <w:i w:val="0"/>
        <w:iCs w:val="0"/>
        <w:color w:val="auto"/>
        <w:sz w:val="21"/>
        <w:szCs w:val="21"/>
      </w:rPr>
    </w:lvl>
    <w:lvl w:ilvl="6" w:tentative="0">
      <w:start w:val="1"/>
      <w:numFmt w:val="decimal"/>
      <w:pStyle w:val="15"/>
      <w:lvlText w:val="(%7) "/>
      <w:lvlJc w:val="left"/>
      <w:pPr>
        <w:tabs>
          <w:tab w:val="left" w:pos="2126"/>
        </w:tabs>
        <w:ind w:left="2126" w:hanging="425"/>
      </w:pPr>
      <w:rPr>
        <w:rFonts w:hint="eastAsia"/>
        <w:b w:val="0"/>
        <w:bCs/>
        <w:i w:val="0"/>
        <w:iCs w:val="0"/>
        <w:sz w:val="21"/>
        <w:szCs w:val="21"/>
        <w:u w:val="none"/>
      </w:rPr>
    </w:lvl>
    <w:lvl w:ilvl="7" w:tentative="0">
      <w:start w:val="1"/>
      <w:numFmt w:val="decimal"/>
      <w:lvlRestart w:val="1"/>
      <w:pStyle w:val="16"/>
      <w:suff w:val="space"/>
      <w:lvlText w:val="Figure %1-%8"/>
      <w:lvlJc w:val="left"/>
      <w:pPr>
        <w:ind w:left="1701" w:firstLine="0"/>
      </w:pPr>
      <w:rPr>
        <w:rFonts w:hint="default" w:ascii="Trebuchet MS" w:hAnsi="Trebuchet MS" w:eastAsia="SimHei" w:cs="Book Antiqua"/>
        <w:b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8" w:tentative="0">
      <w:start w:val="1"/>
      <w:numFmt w:val="decimal"/>
      <w:lvlRestart w:val="1"/>
      <w:pStyle w:val="17"/>
      <w:suff w:val="space"/>
      <w:lvlText w:val="Table %1-%9"/>
      <w:lvlJc w:val="left"/>
      <w:pPr>
        <w:ind w:left="1701" w:firstLine="0"/>
      </w:pPr>
      <w:rPr>
        <w:rFonts w:hint="default" w:ascii="Trebuchet MS" w:hAnsi="Trebuchet MS" w:eastAsia="SimHei"/>
        <w:b/>
        <w:bCs/>
        <w:i w:val="0"/>
        <w:iCs w:val="0"/>
        <w:color w:val="auto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xZWI3MGNhNjIwZjVhMjUyNjZmOTYxZWJjOWIzNzAifQ=="/>
  </w:docVars>
  <w:rsids>
    <w:rsidRoot w:val="4A1245F6"/>
    <w:rsid w:val="000D19C8"/>
    <w:rsid w:val="001D17D1"/>
    <w:rsid w:val="0061060B"/>
    <w:rsid w:val="007F249E"/>
    <w:rsid w:val="009C15CF"/>
    <w:rsid w:val="00CF3641"/>
    <w:rsid w:val="00E0279B"/>
    <w:rsid w:val="0109474F"/>
    <w:rsid w:val="01620B8C"/>
    <w:rsid w:val="01972837"/>
    <w:rsid w:val="01B26D76"/>
    <w:rsid w:val="01B666C0"/>
    <w:rsid w:val="01CC7C92"/>
    <w:rsid w:val="0254342C"/>
    <w:rsid w:val="02557C87"/>
    <w:rsid w:val="02673100"/>
    <w:rsid w:val="02E877E0"/>
    <w:rsid w:val="03284F37"/>
    <w:rsid w:val="03822CFE"/>
    <w:rsid w:val="03BA1596"/>
    <w:rsid w:val="03C86E53"/>
    <w:rsid w:val="03C976B1"/>
    <w:rsid w:val="03F926D8"/>
    <w:rsid w:val="040F2EEA"/>
    <w:rsid w:val="041E6BB8"/>
    <w:rsid w:val="042F54BC"/>
    <w:rsid w:val="04543946"/>
    <w:rsid w:val="045D080C"/>
    <w:rsid w:val="04D43F08"/>
    <w:rsid w:val="04ED3D00"/>
    <w:rsid w:val="050D67D1"/>
    <w:rsid w:val="0526011F"/>
    <w:rsid w:val="05412745"/>
    <w:rsid w:val="05543F4C"/>
    <w:rsid w:val="055549BB"/>
    <w:rsid w:val="055C01BA"/>
    <w:rsid w:val="056A5EC4"/>
    <w:rsid w:val="0592725F"/>
    <w:rsid w:val="05AC42F2"/>
    <w:rsid w:val="05E659FC"/>
    <w:rsid w:val="05F226EE"/>
    <w:rsid w:val="06023FA3"/>
    <w:rsid w:val="06052788"/>
    <w:rsid w:val="060E57CE"/>
    <w:rsid w:val="06795FAF"/>
    <w:rsid w:val="07097CB3"/>
    <w:rsid w:val="072E6562"/>
    <w:rsid w:val="07741766"/>
    <w:rsid w:val="07772AC1"/>
    <w:rsid w:val="07B635D8"/>
    <w:rsid w:val="08083C62"/>
    <w:rsid w:val="080A0062"/>
    <w:rsid w:val="081B74D9"/>
    <w:rsid w:val="082176F9"/>
    <w:rsid w:val="08383BC8"/>
    <w:rsid w:val="083C473D"/>
    <w:rsid w:val="083D3697"/>
    <w:rsid w:val="084C25A7"/>
    <w:rsid w:val="088E2175"/>
    <w:rsid w:val="08B251E0"/>
    <w:rsid w:val="08E34E1E"/>
    <w:rsid w:val="08ED182F"/>
    <w:rsid w:val="08FA1588"/>
    <w:rsid w:val="092A4AEA"/>
    <w:rsid w:val="095D5673"/>
    <w:rsid w:val="09683426"/>
    <w:rsid w:val="099B0FE2"/>
    <w:rsid w:val="09A1570C"/>
    <w:rsid w:val="09A17C56"/>
    <w:rsid w:val="09AE339B"/>
    <w:rsid w:val="09DE37DD"/>
    <w:rsid w:val="0A1B478D"/>
    <w:rsid w:val="0A275628"/>
    <w:rsid w:val="0A3D797F"/>
    <w:rsid w:val="0A410FE9"/>
    <w:rsid w:val="0A7315F2"/>
    <w:rsid w:val="0A7A6363"/>
    <w:rsid w:val="0ABF0394"/>
    <w:rsid w:val="0AD90EF6"/>
    <w:rsid w:val="0ADA685A"/>
    <w:rsid w:val="0B021CAE"/>
    <w:rsid w:val="0B27420D"/>
    <w:rsid w:val="0B332096"/>
    <w:rsid w:val="0B43012D"/>
    <w:rsid w:val="0B4F5282"/>
    <w:rsid w:val="0B664CB3"/>
    <w:rsid w:val="0B775062"/>
    <w:rsid w:val="0BE87A2C"/>
    <w:rsid w:val="0BFA018F"/>
    <w:rsid w:val="0C04525C"/>
    <w:rsid w:val="0C051968"/>
    <w:rsid w:val="0C0A3790"/>
    <w:rsid w:val="0C197F77"/>
    <w:rsid w:val="0C30706F"/>
    <w:rsid w:val="0C443240"/>
    <w:rsid w:val="0C46736A"/>
    <w:rsid w:val="0C540FAF"/>
    <w:rsid w:val="0C623CEA"/>
    <w:rsid w:val="0C8E6E87"/>
    <w:rsid w:val="0C9F70B9"/>
    <w:rsid w:val="0CCF4ADA"/>
    <w:rsid w:val="0CD01236"/>
    <w:rsid w:val="0D0B2B2A"/>
    <w:rsid w:val="0E3D25BA"/>
    <w:rsid w:val="0E455054"/>
    <w:rsid w:val="0E5F73A6"/>
    <w:rsid w:val="0EBC4BEA"/>
    <w:rsid w:val="0EED1247"/>
    <w:rsid w:val="0F0207CC"/>
    <w:rsid w:val="0F50583A"/>
    <w:rsid w:val="0F5763C9"/>
    <w:rsid w:val="0F7068E0"/>
    <w:rsid w:val="0F825E34"/>
    <w:rsid w:val="0FC32BCB"/>
    <w:rsid w:val="0FDE182C"/>
    <w:rsid w:val="0FEE712F"/>
    <w:rsid w:val="104E79DA"/>
    <w:rsid w:val="10784308"/>
    <w:rsid w:val="10D05466"/>
    <w:rsid w:val="10EB6575"/>
    <w:rsid w:val="11166833"/>
    <w:rsid w:val="11551A52"/>
    <w:rsid w:val="118F277F"/>
    <w:rsid w:val="119C7AE1"/>
    <w:rsid w:val="11AD29CF"/>
    <w:rsid w:val="11C274B6"/>
    <w:rsid w:val="11EF2F2A"/>
    <w:rsid w:val="120A1783"/>
    <w:rsid w:val="121D1750"/>
    <w:rsid w:val="121E2322"/>
    <w:rsid w:val="1227460A"/>
    <w:rsid w:val="123C0C30"/>
    <w:rsid w:val="12A02879"/>
    <w:rsid w:val="12CC1A78"/>
    <w:rsid w:val="12D90460"/>
    <w:rsid w:val="12D949B7"/>
    <w:rsid w:val="12EE74A5"/>
    <w:rsid w:val="12F708E7"/>
    <w:rsid w:val="13086650"/>
    <w:rsid w:val="130A5FB9"/>
    <w:rsid w:val="132A7D67"/>
    <w:rsid w:val="13BB125A"/>
    <w:rsid w:val="13C13857"/>
    <w:rsid w:val="14050DDD"/>
    <w:rsid w:val="140D3613"/>
    <w:rsid w:val="14244083"/>
    <w:rsid w:val="143363D6"/>
    <w:rsid w:val="144C4E21"/>
    <w:rsid w:val="146A5814"/>
    <w:rsid w:val="15154583"/>
    <w:rsid w:val="151D26D9"/>
    <w:rsid w:val="153159CD"/>
    <w:rsid w:val="15470709"/>
    <w:rsid w:val="158E2834"/>
    <w:rsid w:val="15AB298E"/>
    <w:rsid w:val="15C475EA"/>
    <w:rsid w:val="15EB2077"/>
    <w:rsid w:val="16136443"/>
    <w:rsid w:val="16203E44"/>
    <w:rsid w:val="16205CEA"/>
    <w:rsid w:val="16594D98"/>
    <w:rsid w:val="169839BA"/>
    <w:rsid w:val="16D74611"/>
    <w:rsid w:val="174D6AB5"/>
    <w:rsid w:val="17780248"/>
    <w:rsid w:val="183F5345"/>
    <w:rsid w:val="18400C91"/>
    <w:rsid w:val="189D0717"/>
    <w:rsid w:val="18AB771E"/>
    <w:rsid w:val="18AC665F"/>
    <w:rsid w:val="18C4126B"/>
    <w:rsid w:val="18D30F86"/>
    <w:rsid w:val="19094ED0"/>
    <w:rsid w:val="19167E5A"/>
    <w:rsid w:val="194F322A"/>
    <w:rsid w:val="19510D51"/>
    <w:rsid w:val="196F021C"/>
    <w:rsid w:val="19DC0308"/>
    <w:rsid w:val="1A304E0A"/>
    <w:rsid w:val="1A5403CD"/>
    <w:rsid w:val="1A6744C8"/>
    <w:rsid w:val="1ABC48F0"/>
    <w:rsid w:val="1ACE17B1"/>
    <w:rsid w:val="1B406DC4"/>
    <w:rsid w:val="1B516A8C"/>
    <w:rsid w:val="1B6B2700"/>
    <w:rsid w:val="1B9455A8"/>
    <w:rsid w:val="1BAD5FE6"/>
    <w:rsid w:val="1BF105C9"/>
    <w:rsid w:val="1BF64F23"/>
    <w:rsid w:val="1C2902D6"/>
    <w:rsid w:val="1C320B0B"/>
    <w:rsid w:val="1C82578D"/>
    <w:rsid w:val="1CBB2E78"/>
    <w:rsid w:val="1CCC2F7C"/>
    <w:rsid w:val="1CD04682"/>
    <w:rsid w:val="1CE10A17"/>
    <w:rsid w:val="1D000FFF"/>
    <w:rsid w:val="1D005222"/>
    <w:rsid w:val="1D397BE5"/>
    <w:rsid w:val="1DB432A1"/>
    <w:rsid w:val="1DCB1624"/>
    <w:rsid w:val="1DE17BE3"/>
    <w:rsid w:val="1DF26F67"/>
    <w:rsid w:val="1DF63CDB"/>
    <w:rsid w:val="1E4B0C15"/>
    <w:rsid w:val="1E6546BD"/>
    <w:rsid w:val="1E82310A"/>
    <w:rsid w:val="1E9A5C96"/>
    <w:rsid w:val="1EBE0ACE"/>
    <w:rsid w:val="1EC42443"/>
    <w:rsid w:val="1F190B4E"/>
    <w:rsid w:val="1F5E1C97"/>
    <w:rsid w:val="1FA33269"/>
    <w:rsid w:val="1FBE7CDF"/>
    <w:rsid w:val="20153881"/>
    <w:rsid w:val="212141F6"/>
    <w:rsid w:val="21493030"/>
    <w:rsid w:val="216243AE"/>
    <w:rsid w:val="21885633"/>
    <w:rsid w:val="219914E7"/>
    <w:rsid w:val="21C167F0"/>
    <w:rsid w:val="21FC3824"/>
    <w:rsid w:val="2238494B"/>
    <w:rsid w:val="226502DE"/>
    <w:rsid w:val="227F4065"/>
    <w:rsid w:val="22965A26"/>
    <w:rsid w:val="22C75BE0"/>
    <w:rsid w:val="22D32EED"/>
    <w:rsid w:val="22E319AB"/>
    <w:rsid w:val="23623B5A"/>
    <w:rsid w:val="23825F29"/>
    <w:rsid w:val="23CA6F11"/>
    <w:rsid w:val="24054E77"/>
    <w:rsid w:val="2459084E"/>
    <w:rsid w:val="247E0298"/>
    <w:rsid w:val="24D252AE"/>
    <w:rsid w:val="24F22960"/>
    <w:rsid w:val="25014C62"/>
    <w:rsid w:val="25537BFE"/>
    <w:rsid w:val="25E10795"/>
    <w:rsid w:val="26024D52"/>
    <w:rsid w:val="264826B1"/>
    <w:rsid w:val="2676158E"/>
    <w:rsid w:val="26804680"/>
    <w:rsid w:val="269D4FB7"/>
    <w:rsid w:val="26DB3240"/>
    <w:rsid w:val="270F06A1"/>
    <w:rsid w:val="273B559E"/>
    <w:rsid w:val="273D301A"/>
    <w:rsid w:val="275B67CC"/>
    <w:rsid w:val="27A72B9A"/>
    <w:rsid w:val="27AB4887"/>
    <w:rsid w:val="27B25C5D"/>
    <w:rsid w:val="282E6B76"/>
    <w:rsid w:val="287C7AB4"/>
    <w:rsid w:val="28924926"/>
    <w:rsid w:val="28935205"/>
    <w:rsid w:val="28CD5F1A"/>
    <w:rsid w:val="28F93407"/>
    <w:rsid w:val="291924AB"/>
    <w:rsid w:val="291B0A33"/>
    <w:rsid w:val="29351C47"/>
    <w:rsid w:val="295C3B2E"/>
    <w:rsid w:val="297D3536"/>
    <w:rsid w:val="29FB5A79"/>
    <w:rsid w:val="2A00058E"/>
    <w:rsid w:val="2A057083"/>
    <w:rsid w:val="2A606ED1"/>
    <w:rsid w:val="2AC32C4A"/>
    <w:rsid w:val="2AE21785"/>
    <w:rsid w:val="2B085A4E"/>
    <w:rsid w:val="2B1971F4"/>
    <w:rsid w:val="2B230073"/>
    <w:rsid w:val="2B815103"/>
    <w:rsid w:val="2C8451FC"/>
    <w:rsid w:val="2C886012"/>
    <w:rsid w:val="2CE34819"/>
    <w:rsid w:val="2D1B54A6"/>
    <w:rsid w:val="2D22212C"/>
    <w:rsid w:val="2D2C56BC"/>
    <w:rsid w:val="2D594220"/>
    <w:rsid w:val="2D614C14"/>
    <w:rsid w:val="2D755309"/>
    <w:rsid w:val="2DCA0C7A"/>
    <w:rsid w:val="2E11469D"/>
    <w:rsid w:val="2EBA0CEE"/>
    <w:rsid w:val="2EC305F1"/>
    <w:rsid w:val="2ED33374"/>
    <w:rsid w:val="2EE377B8"/>
    <w:rsid w:val="2F13275F"/>
    <w:rsid w:val="2F17393F"/>
    <w:rsid w:val="2F264C48"/>
    <w:rsid w:val="2F307202"/>
    <w:rsid w:val="2F320885"/>
    <w:rsid w:val="2F421AEA"/>
    <w:rsid w:val="2FD50780"/>
    <w:rsid w:val="2FDD7554"/>
    <w:rsid w:val="303A551F"/>
    <w:rsid w:val="305A1CE7"/>
    <w:rsid w:val="307E2D43"/>
    <w:rsid w:val="30B31972"/>
    <w:rsid w:val="30BE38B5"/>
    <w:rsid w:val="30E13F7C"/>
    <w:rsid w:val="31232BE4"/>
    <w:rsid w:val="317D111E"/>
    <w:rsid w:val="318B24CE"/>
    <w:rsid w:val="31975317"/>
    <w:rsid w:val="31A05E5C"/>
    <w:rsid w:val="31C85A10"/>
    <w:rsid w:val="31D72D89"/>
    <w:rsid w:val="32610CCD"/>
    <w:rsid w:val="326A1D3A"/>
    <w:rsid w:val="32AF5B39"/>
    <w:rsid w:val="32B22D64"/>
    <w:rsid w:val="32BC4CFC"/>
    <w:rsid w:val="32E14A9C"/>
    <w:rsid w:val="331E7F72"/>
    <w:rsid w:val="332C4A22"/>
    <w:rsid w:val="33A0781A"/>
    <w:rsid w:val="33E44BEA"/>
    <w:rsid w:val="33E75DE7"/>
    <w:rsid w:val="342015F4"/>
    <w:rsid w:val="343C3959"/>
    <w:rsid w:val="344835C0"/>
    <w:rsid w:val="34677222"/>
    <w:rsid w:val="34DB4661"/>
    <w:rsid w:val="352E0FDA"/>
    <w:rsid w:val="35460508"/>
    <w:rsid w:val="35497989"/>
    <w:rsid w:val="35AC3B58"/>
    <w:rsid w:val="35AF0E81"/>
    <w:rsid w:val="35B80D16"/>
    <w:rsid w:val="360B5A0F"/>
    <w:rsid w:val="36116CDF"/>
    <w:rsid w:val="361B3376"/>
    <w:rsid w:val="364804CA"/>
    <w:rsid w:val="3656523F"/>
    <w:rsid w:val="365959DC"/>
    <w:rsid w:val="369D5717"/>
    <w:rsid w:val="36B409F3"/>
    <w:rsid w:val="36BB5A02"/>
    <w:rsid w:val="36CF2454"/>
    <w:rsid w:val="36E63EF0"/>
    <w:rsid w:val="36EE6EFC"/>
    <w:rsid w:val="3706083B"/>
    <w:rsid w:val="372B4945"/>
    <w:rsid w:val="37305FF2"/>
    <w:rsid w:val="37405B09"/>
    <w:rsid w:val="3756618D"/>
    <w:rsid w:val="37620175"/>
    <w:rsid w:val="3769735A"/>
    <w:rsid w:val="376E6341"/>
    <w:rsid w:val="37924DF5"/>
    <w:rsid w:val="37DC4761"/>
    <w:rsid w:val="37DF3574"/>
    <w:rsid w:val="37EB3979"/>
    <w:rsid w:val="37FA215C"/>
    <w:rsid w:val="381B1325"/>
    <w:rsid w:val="381F2104"/>
    <w:rsid w:val="383A79B4"/>
    <w:rsid w:val="38665811"/>
    <w:rsid w:val="386C209B"/>
    <w:rsid w:val="3889115B"/>
    <w:rsid w:val="38B410C3"/>
    <w:rsid w:val="38B844F1"/>
    <w:rsid w:val="38FA397D"/>
    <w:rsid w:val="394C77DF"/>
    <w:rsid w:val="39A06D29"/>
    <w:rsid w:val="39CB0253"/>
    <w:rsid w:val="39D11CAE"/>
    <w:rsid w:val="39DB3ACD"/>
    <w:rsid w:val="3A221A8C"/>
    <w:rsid w:val="3A2868E5"/>
    <w:rsid w:val="3A4B2FEE"/>
    <w:rsid w:val="3A83468A"/>
    <w:rsid w:val="3A8D2BD6"/>
    <w:rsid w:val="3AA20FB4"/>
    <w:rsid w:val="3AA23255"/>
    <w:rsid w:val="3AFC58F9"/>
    <w:rsid w:val="3B201A65"/>
    <w:rsid w:val="3B29304F"/>
    <w:rsid w:val="3BAD0401"/>
    <w:rsid w:val="3BD641DA"/>
    <w:rsid w:val="3C652594"/>
    <w:rsid w:val="3CA57788"/>
    <w:rsid w:val="3CA9730D"/>
    <w:rsid w:val="3CD82898"/>
    <w:rsid w:val="3D071054"/>
    <w:rsid w:val="3D143CBF"/>
    <w:rsid w:val="3D4068CA"/>
    <w:rsid w:val="3DB46118"/>
    <w:rsid w:val="3DB66B25"/>
    <w:rsid w:val="3DC8254D"/>
    <w:rsid w:val="3DCE643C"/>
    <w:rsid w:val="3DFB4C8C"/>
    <w:rsid w:val="3E384444"/>
    <w:rsid w:val="3E5235A3"/>
    <w:rsid w:val="3E6E4830"/>
    <w:rsid w:val="3EB308A1"/>
    <w:rsid w:val="3EF9436F"/>
    <w:rsid w:val="3F1D0095"/>
    <w:rsid w:val="3F4C600A"/>
    <w:rsid w:val="3F4E22AE"/>
    <w:rsid w:val="3F7805F5"/>
    <w:rsid w:val="3F847B7B"/>
    <w:rsid w:val="3FF12B50"/>
    <w:rsid w:val="403A3A3D"/>
    <w:rsid w:val="40762F92"/>
    <w:rsid w:val="408178BE"/>
    <w:rsid w:val="40906885"/>
    <w:rsid w:val="40B93F30"/>
    <w:rsid w:val="40C526F6"/>
    <w:rsid w:val="40C60F26"/>
    <w:rsid w:val="40CF0629"/>
    <w:rsid w:val="40D53AEF"/>
    <w:rsid w:val="40FE77A8"/>
    <w:rsid w:val="415F5CE4"/>
    <w:rsid w:val="416835C8"/>
    <w:rsid w:val="41A31919"/>
    <w:rsid w:val="41A53586"/>
    <w:rsid w:val="41AE6491"/>
    <w:rsid w:val="424509E6"/>
    <w:rsid w:val="42517DEB"/>
    <w:rsid w:val="426C32DB"/>
    <w:rsid w:val="42955FD5"/>
    <w:rsid w:val="42A10A1D"/>
    <w:rsid w:val="42AE4D6A"/>
    <w:rsid w:val="42CB3316"/>
    <w:rsid w:val="42F930B7"/>
    <w:rsid w:val="42FB5B81"/>
    <w:rsid w:val="433E641C"/>
    <w:rsid w:val="43BD6E5F"/>
    <w:rsid w:val="43DD09D6"/>
    <w:rsid w:val="43EC2193"/>
    <w:rsid w:val="43F11ECD"/>
    <w:rsid w:val="43FC248E"/>
    <w:rsid w:val="442F2470"/>
    <w:rsid w:val="44664DF2"/>
    <w:rsid w:val="44B04522"/>
    <w:rsid w:val="455412F1"/>
    <w:rsid w:val="455D70B3"/>
    <w:rsid w:val="45AD2F8F"/>
    <w:rsid w:val="45CF69D6"/>
    <w:rsid w:val="45D40CC5"/>
    <w:rsid w:val="46021398"/>
    <w:rsid w:val="463E07CC"/>
    <w:rsid w:val="465762B5"/>
    <w:rsid w:val="465F5CA6"/>
    <w:rsid w:val="466F1F67"/>
    <w:rsid w:val="467E21A7"/>
    <w:rsid w:val="46AA6143"/>
    <w:rsid w:val="46E176BE"/>
    <w:rsid w:val="46E22739"/>
    <w:rsid w:val="4746716B"/>
    <w:rsid w:val="474715E2"/>
    <w:rsid w:val="47925F0D"/>
    <w:rsid w:val="47935B22"/>
    <w:rsid w:val="47E15CDE"/>
    <w:rsid w:val="48027536"/>
    <w:rsid w:val="48082673"/>
    <w:rsid w:val="4846459F"/>
    <w:rsid w:val="48743AD6"/>
    <w:rsid w:val="487858C3"/>
    <w:rsid w:val="489E123B"/>
    <w:rsid w:val="48B10E2C"/>
    <w:rsid w:val="48E54451"/>
    <w:rsid w:val="49063303"/>
    <w:rsid w:val="493F2B6D"/>
    <w:rsid w:val="4A1245F6"/>
    <w:rsid w:val="4A224D37"/>
    <w:rsid w:val="4ADC6D46"/>
    <w:rsid w:val="4AFB6ABD"/>
    <w:rsid w:val="4B434FEB"/>
    <w:rsid w:val="4B540F8C"/>
    <w:rsid w:val="4B811719"/>
    <w:rsid w:val="4B8437C4"/>
    <w:rsid w:val="4B9A5CD8"/>
    <w:rsid w:val="4BA674F8"/>
    <w:rsid w:val="4BAE4C4F"/>
    <w:rsid w:val="4BC122DE"/>
    <w:rsid w:val="4BC26761"/>
    <w:rsid w:val="4BED5E07"/>
    <w:rsid w:val="4C0A4F09"/>
    <w:rsid w:val="4C277CCD"/>
    <w:rsid w:val="4C51205A"/>
    <w:rsid w:val="4C6A56AA"/>
    <w:rsid w:val="4C7D71E6"/>
    <w:rsid w:val="4CC00186"/>
    <w:rsid w:val="4D2D62EB"/>
    <w:rsid w:val="4E3046D1"/>
    <w:rsid w:val="4E32179C"/>
    <w:rsid w:val="4E7F7BF0"/>
    <w:rsid w:val="4E943497"/>
    <w:rsid w:val="4E9A56B9"/>
    <w:rsid w:val="4EBB043F"/>
    <w:rsid w:val="4ED65279"/>
    <w:rsid w:val="4F013136"/>
    <w:rsid w:val="4F551117"/>
    <w:rsid w:val="4F627B16"/>
    <w:rsid w:val="4F6A33E8"/>
    <w:rsid w:val="4FB551E4"/>
    <w:rsid w:val="4FE50825"/>
    <w:rsid w:val="502B5150"/>
    <w:rsid w:val="50672CDB"/>
    <w:rsid w:val="509B4084"/>
    <w:rsid w:val="50DA4FC8"/>
    <w:rsid w:val="510854EA"/>
    <w:rsid w:val="510A745C"/>
    <w:rsid w:val="510F016D"/>
    <w:rsid w:val="511D3A08"/>
    <w:rsid w:val="51332DC3"/>
    <w:rsid w:val="51650F81"/>
    <w:rsid w:val="520B28FD"/>
    <w:rsid w:val="52522E68"/>
    <w:rsid w:val="528D20F2"/>
    <w:rsid w:val="529D3DB1"/>
    <w:rsid w:val="52D43E71"/>
    <w:rsid w:val="535D11E2"/>
    <w:rsid w:val="53A21BCD"/>
    <w:rsid w:val="53A84800"/>
    <w:rsid w:val="53C21435"/>
    <w:rsid w:val="53CC6C4A"/>
    <w:rsid w:val="54072840"/>
    <w:rsid w:val="547E6196"/>
    <w:rsid w:val="54AA3F08"/>
    <w:rsid w:val="555869DC"/>
    <w:rsid w:val="557C389E"/>
    <w:rsid w:val="55C62F77"/>
    <w:rsid w:val="55CE6CAA"/>
    <w:rsid w:val="55F769B4"/>
    <w:rsid w:val="56636008"/>
    <w:rsid w:val="56815226"/>
    <w:rsid w:val="5684049D"/>
    <w:rsid w:val="56B06BB8"/>
    <w:rsid w:val="56C73D8F"/>
    <w:rsid w:val="56CC0865"/>
    <w:rsid w:val="57046F62"/>
    <w:rsid w:val="57233025"/>
    <w:rsid w:val="57831A90"/>
    <w:rsid w:val="579764AF"/>
    <w:rsid w:val="58080B0C"/>
    <w:rsid w:val="58221405"/>
    <w:rsid w:val="582E7A95"/>
    <w:rsid w:val="585F5141"/>
    <w:rsid w:val="588144C9"/>
    <w:rsid w:val="58907C9D"/>
    <w:rsid w:val="58B008E9"/>
    <w:rsid w:val="58B40EB3"/>
    <w:rsid w:val="58D50C58"/>
    <w:rsid w:val="58DC72FC"/>
    <w:rsid w:val="58F138D7"/>
    <w:rsid w:val="58F5279F"/>
    <w:rsid w:val="590B3289"/>
    <w:rsid w:val="591C4F44"/>
    <w:rsid w:val="59600776"/>
    <w:rsid w:val="59CD6ABA"/>
    <w:rsid w:val="59D10B16"/>
    <w:rsid w:val="5A2605E9"/>
    <w:rsid w:val="5A700A6C"/>
    <w:rsid w:val="5AD84127"/>
    <w:rsid w:val="5ADA2106"/>
    <w:rsid w:val="5AEE022E"/>
    <w:rsid w:val="5B2E3D47"/>
    <w:rsid w:val="5B6A5AC9"/>
    <w:rsid w:val="5B9D6085"/>
    <w:rsid w:val="5BFC463A"/>
    <w:rsid w:val="5BFF1FE5"/>
    <w:rsid w:val="5C1B6F9F"/>
    <w:rsid w:val="5C2435B4"/>
    <w:rsid w:val="5C56716A"/>
    <w:rsid w:val="5C5E0323"/>
    <w:rsid w:val="5C79404F"/>
    <w:rsid w:val="5CAE15E3"/>
    <w:rsid w:val="5CB02B3A"/>
    <w:rsid w:val="5CEA0505"/>
    <w:rsid w:val="5D353719"/>
    <w:rsid w:val="5D415FB3"/>
    <w:rsid w:val="5D5117B1"/>
    <w:rsid w:val="5D8A2A07"/>
    <w:rsid w:val="5E28378F"/>
    <w:rsid w:val="5E39312E"/>
    <w:rsid w:val="5E456BCA"/>
    <w:rsid w:val="5E4A6B29"/>
    <w:rsid w:val="5E551FC7"/>
    <w:rsid w:val="5E84084D"/>
    <w:rsid w:val="5EC82E34"/>
    <w:rsid w:val="5EE26C0C"/>
    <w:rsid w:val="5F2906FB"/>
    <w:rsid w:val="5F9875DD"/>
    <w:rsid w:val="603B5CBC"/>
    <w:rsid w:val="60492AD3"/>
    <w:rsid w:val="60604DF6"/>
    <w:rsid w:val="60621C6C"/>
    <w:rsid w:val="60A15857"/>
    <w:rsid w:val="60B52E53"/>
    <w:rsid w:val="60BC0B6F"/>
    <w:rsid w:val="60DD4245"/>
    <w:rsid w:val="60E62582"/>
    <w:rsid w:val="60F02E9B"/>
    <w:rsid w:val="611A575B"/>
    <w:rsid w:val="611C5445"/>
    <w:rsid w:val="612E37A1"/>
    <w:rsid w:val="614C7BFB"/>
    <w:rsid w:val="61804E4A"/>
    <w:rsid w:val="61807CE9"/>
    <w:rsid w:val="61B36A0F"/>
    <w:rsid w:val="61DD63C5"/>
    <w:rsid w:val="61E138C1"/>
    <w:rsid w:val="6230300B"/>
    <w:rsid w:val="6246490D"/>
    <w:rsid w:val="624A0969"/>
    <w:rsid w:val="62872A32"/>
    <w:rsid w:val="62B71493"/>
    <w:rsid w:val="62C551EA"/>
    <w:rsid w:val="62D56699"/>
    <w:rsid w:val="63705B67"/>
    <w:rsid w:val="637B0736"/>
    <w:rsid w:val="638A6CA9"/>
    <w:rsid w:val="639F1C85"/>
    <w:rsid w:val="63A76D5F"/>
    <w:rsid w:val="63B30C43"/>
    <w:rsid w:val="63C65464"/>
    <w:rsid w:val="63D24C8B"/>
    <w:rsid w:val="63ED29F1"/>
    <w:rsid w:val="640A52E8"/>
    <w:rsid w:val="646067C3"/>
    <w:rsid w:val="648755F0"/>
    <w:rsid w:val="64D570D4"/>
    <w:rsid w:val="64EB7FE5"/>
    <w:rsid w:val="64F47322"/>
    <w:rsid w:val="65006CE2"/>
    <w:rsid w:val="652D6CE5"/>
    <w:rsid w:val="65346838"/>
    <w:rsid w:val="65451B94"/>
    <w:rsid w:val="655A670E"/>
    <w:rsid w:val="65622E6E"/>
    <w:rsid w:val="65C62FBD"/>
    <w:rsid w:val="65EB69F7"/>
    <w:rsid w:val="66484177"/>
    <w:rsid w:val="665C4A74"/>
    <w:rsid w:val="666864A7"/>
    <w:rsid w:val="667747F4"/>
    <w:rsid w:val="66A229A6"/>
    <w:rsid w:val="66C55A94"/>
    <w:rsid w:val="66EC77CA"/>
    <w:rsid w:val="66FA345D"/>
    <w:rsid w:val="671B7875"/>
    <w:rsid w:val="6773145F"/>
    <w:rsid w:val="681F3395"/>
    <w:rsid w:val="687079F4"/>
    <w:rsid w:val="688912F7"/>
    <w:rsid w:val="688A654B"/>
    <w:rsid w:val="68C331B9"/>
    <w:rsid w:val="69047A33"/>
    <w:rsid w:val="69117181"/>
    <w:rsid w:val="69644E17"/>
    <w:rsid w:val="69807E63"/>
    <w:rsid w:val="69E0552B"/>
    <w:rsid w:val="69F40403"/>
    <w:rsid w:val="69F83E9D"/>
    <w:rsid w:val="6A361619"/>
    <w:rsid w:val="6A5D01A4"/>
    <w:rsid w:val="6A7C517B"/>
    <w:rsid w:val="6AC5099B"/>
    <w:rsid w:val="6B4355EC"/>
    <w:rsid w:val="6B4C7F9A"/>
    <w:rsid w:val="6BCE59E1"/>
    <w:rsid w:val="6BF34310"/>
    <w:rsid w:val="6C0D4ACE"/>
    <w:rsid w:val="6C1A634D"/>
    <w:rsid w:val="6C44233F"/>
    <w:rsid w:val="6C5E3423"/>
    <w:rsid w:val="6C6D256F"/>
    <w:rsid w:val="6C8A33E2"/>
    <w:rsid w:val="6C905F35"/>
    <w:rsid w:val="6CDB080E"/>
    <w:rsid w:val="6CF11231"/>
    <w:rsid w:val="6D0756E0"/>
    <w:rsid w:val="6D5D4F1B"/>
    <w:rsid w:val="6D911177"/>
    <w:rsid w:val="6D947099"/>
    <w:rsid w:val="6E7926AE"/>
    <w:rsid w:val="6E942C9F"/>
    <w:rsid w:val="6E942F06"/>
    <w:rsid w:val="6EA74CE8"/>
    <w:rsid w:val="6F2122C6"/>
    <w:rsid w:val="6F255570"/>
    <w:rsid w:val="6F85082C"/>
    <w:rsid w:val="6F984159"/>
    <w:rsid w:val="6F987DCF"/>
    <w:rsid w:val="6FA002F9"/>
    <w:rsid w:val="6FA37CF5"/>
    <w:rsid w:val="6FB73B90"/>
    <w:rsid w:val="6FDF37AC"/>
    <w:rsid w:val="701C430F"/>
    <w:rsid w:val="70685CEC"/>
    <w:rsid w:val="707E6FC8"/>
    <w:rsid w:val="70D7340E"/>
    <w:rsid w:val="712A6646"/>
    <w:rsid w:val="71482132"/>
    <w:rsid w:val="714A0E46"/>
    <w:rsid w:val="71537D7E"/>
    <w:rsid w:val="71793B16"/>
    <w:rsid w:val="718667F3"/>
    <w:rsid w:val="71897FB0"/>
    <w:rsid w:val="719317BD"/>
    <w:rsid w:val="71940950"/>
    <w:rsid w:val="71AD37BF"/>
    <w:rsid w:val="71C42ECA"/>
    <w:rsid w:val="71D77ED8"/>
    <w:rsid w:val="71E371E1"/>
    <w:rsid w:val="7218332F"/>
    <w:rsid w:val="721D6B97"/>
    <w:rsid w:val="72263B1A"/>
    <w:rsid w:val="72FC1A3D"/>
    <w:rsid w:val="72FD42D3"/>
    <w:rsid w:val="737E18B7"/>
    <w:rsid w:val="73AD70AD"/>
    <w:rsid w:val="73C66DBA"/>
    <w:rsid w:val="73FC66B1"/>
    <w:rsid w:val="74150907"/>
    <w:rsid w:val="74CA5026"/>
    <w:rsid w:val="74D91B87"/>
    <w:rsid w:val="750F16F1"/>
    <w:rsid w:val="75241FEA"/>
    <w:rsid w:val="753F5076"/>
    <w:rsid w:val="7558364A"/>
    <w:rsid w:val="757F1917"/>
    <w:rsid w:val="75C13CDD"/>
    <w:rsid w:val="75CC6A4D"/>
    <w:rsid w:val="76041D8F"/>
    <w:rsid w:val="76496F1C"/>
    <w:rsid w:val="76634D94"/>
    <w:rsid w:val="767B20DE"/>
    <w:rsid w:val="768C22CC"/>
    <w:rsid w:val="768F070D"/>
    <w:rsid w:val="76A538DE"/>
    <w:rsid w:val="76CB4168"/>
    <w:rsid w:val="76D11F79"/>
    <w:rsid w:val="76F6723F"/>
    <w:rsid w:val="76F81981"/>
    <w:rsid w:val="7779636D"/>
    <w:rsid w:val="780C71CA"/>
    <w:rsid w:val="78262BC8"/>
    <w:rsid w:val="78393FFF"/>
    <w:rsid w:val="783C5ED8"/>
    <w:rsid w:val="78591537"/>
    <w:rsid w:val="78593553"/>
    <w:rsid w:val="78617769"/>
    <w:rsid w:val="78767E9D"/>
    <w:rsid w:val="78BC49E1"/>
    <w:rsid w:val="78F148D9"/>
    <w:rsid w:val="79336CA0"/>
    <w:rsid w:val="796B6976"/>
    <w:rsid w:val="798725F9"/>
    <w:rsid w:val="79D85143"/>
    <w:rsid w:val="7A1510FB"/>
    <w:rsid w:val="7A16017E"/>
    <w:rsid w:val="7A4A2914"/>
    <w:rsid w:val="7A572FE3"/>
    <w:rsid w:val="7A5E0E2C"/>
    <w:rsid w:val="7A601D17"/>
    <w:rsid w:val="7A6A2556"/>
    <w:rsid w:val="7A924E60"/>
    <w:rsid w:val="7A942E2E"/>
    <w:rsid w:val="7AA7714E"/>
    <w:rsid w:val="7AB3187E"/>
    <w:rsid w:val="7AD40AD7"/>
    <w:rsid w:val="7AD46261"/>
    <w:rsid w:val="7AE96FDF"/>
    <w:rsid w:val="7AED03A9"/>
    <w:rsid w:val="7B0F6398"/>
    <w:rsid w:val="7B203254"/>
    <w:rsid w:val="7B585393"/>
    <w:rsid w:val="7B800178"/>
    <w:rsid w:val="7C0A5911"/>
    <w:rsid w:val="7C2D2C0E"/>
    <w:rsid w:val="7C962245"/>
    <w:rsid w:val="7C9E391F"/>
    <w:rsid w:val="7CAF2268"/>
    <w:rsid w:val="7CB002AD"/>
    <w:rsid w:val="7CFC413A"/>
    <w:rsid w:val="7D337B95"/>
    <w:rsid w:val="7D5D253D"/>
    <w:rsid w:val="7D7161B7"/>
    <w:rsid w:val="7D772F67"/>
    <w:rsid w:val="7D9679E6"/>
    <w:rsid w:val="7DC90E25"/>
    <w:rsid w:val="7DE121C9"/>
    <w:rsid w:val="7DEB7B49"/>
    <w:rsid w:val="7E7D49D0"/>
    <w:rsid w:val="7E8966CA"/>
    <w:rsid w:val="7E8E03F8"/>
    <w:rsid w:val="7F1D519F"/>
    <w:rsid w:val="7F43005A"/>
    <w:rsid w:val="7F79760C"/>
    <w:rsid w:val="7FA048DB"/>
    <w:rsid w:val="7FE32C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line="240" w:lineRule="auto"/>
      <w:ind w:left="0"/>
      <w:jc w:val="both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 w:eastAsia="zh-CN" w:bidi="ar-SA"/>
    </w:rPr>
  </w:style>
  <w:style w:type="paragraph" w:styleId="2">
    <w:name w:val="heading 1"/>
    <w:next w:val="3"/>
    <w:link w:val="10"/>
    <w:qFormat/>
    <w:uiPriority w:val="0"/>
    <w:pPr>
      <w:keepNext/>
      <w:keepLines w:val="0"/>
      <w:pageBreakBefore w:val="0"/>
      <w:pBdr>
        <w:top w:val="none" w:color="auto" w:sz="0" w:space="1"/>
        <w:left w:val="none" w:color="auto" w:sz="0" w:space="4"/>
        <w:bottom w:val="none" w:color="005CA1" w:sz="0" w:space="1"/>
        <w:right w:val="none" w:color="auto" w:sz="0" w:space="4"/>
      </w:pBdr>
      <w:spacing w:line="240" w:lineRule="auto"/>
      <w:jc w:val="left"/>
      <w:outlineLvl w:val="0"/>
    </w:pPr>
    <w:rPr>
      <w:rFonts w:ascii="Times New Roman" w:hAnsi="Times New Roman" w:eastAsia="Times New Roman" w:cs="Times New Roman"/>
      <w:b/>
      <w:color w:val="FF0000"/>
      <w:kern w:val="2"/>
      <w:sz w:val="21"/>
      <w:szCs w:val="44"/>
      <w:lang w:val="en-US" w:eastAsia="zh-CN" w:bidi="ar-SA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76" w:lineRule="auto"/>
      <w:outlineLvl w:val="1"/>
    </w:pPr>
    <w:rPr>
      <w:rFonts w:ascii="Times New Roman" w:hAnsi="Times New Roman" w:eastAsia="Times New Roman"/>
      <w:szCs w:val="2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Book Antiqua" w:hAnsi="Book Antiqua" w:eastAsia="SimHei" w:cs="Times New Roman"/>
      <w:color w:val="000000"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1 Char"/>
    <w:link w:val="2"/>
    <w:qFormat/>
    <w:uiPriority w:val="0"/>
    <w:rPr>
      <w:rFonts w:ascii="Times New Roman" w:hAnsi="Times New Roman" w:eastAsia="Times New Roman" w:cs="Times New Roman"/>
      <w:b/>
      <w:color w:val="FF0000"/>
      <w:kern w:val="44"/>
      <w:sz w:val="21"/>
      <w:szCs w:val="48"/>
      <w:lang w:bidi="ar"/>
    </w:rPr>
  </w:style>
  <w:style w:type="character" w:customStyle="1" w:styleId="11">
    <w:name w:val="标题 2 Char"/>
    <w:link w:val="3"/>
    <w:qFormat/>
    <w:uiPriority w:val="9"/>
    <w:rPr>
      <w:rFonts w:ascii="Times New Roman" w:hAnsi="Times New Roman" w:eastAsia="Times New Roman" w:cs="Times New Roman"/>
      <w:b/>
      <w:sz w:val="21"/>
      <w:szCs w:val="22"/>
    </w:rPr>
  </w:style>
  <w:style w:type="paragraph" w:customStyle="1" w:styleId="12">
    <w:name w:val="样式1"/>
    <w:basedOn w:val="2"/>
    <w:next w:val="1"/>
    <w:qFormat/>
    <w:uiPriority w:val="0"/>
    <w:rPr>
      <w:rFonts w:ascii="Calibri" w:hAnsi="Calibri" w:eastAsia="SimHei" w:cs="SimSun"/>
      <w:color w:val="00B050"/>
      <w:sz w:val="24"/>
      <w:szCs w:val="48"/>
      <w:lang w:bidi="ar"/>
    </w:rPr>
  </w:style>
  <w:style w:type="paragraph" w:customStyle="1" w:styleId="13">
    <w:name w:val="Block Label"/>
    <w:basedOn w:val="1"/>
    <w:qFormat/>
    <w:uiPriority w:val="0"/>
    <w:pPr>
      <w:numPr>
        <w:ilvl w:val="3"/>
        <w:numId w:val="1"/>
      </w:numPr>
    </w:pPr>
  </w:style>
  <w:style w:type="paragraph" w:customStyle="1" w:styleId="14">
    <w:name w:val="Step"/>
    <w:basedOn w:val="1"/>
    <w:qFormat/>
    <w:uiPriority w:val="0"/>
    <w:pPr>
      <w:numPr>
        <w:ilvl w:val="5"/>
        <w:numId w:val="1"/>
      </w:numPr>
      <w:ind w:left="1701" w:hanging="159"/>
    </w:pPr>
  </w:style>
  <w:style w:type="paragraph" w:customStyle="1" w:styleId="15">
    <w:name w:val="Item Step"/>
    <w:basedOn w:val="1"/>
    <w:qFormat/>
    <w:uiPriority w:val="0"/>
    <w:pPr>
      <w:numPr>
        <w:ilvl w:val="6"/>
        <w:numId w:val="1"/>
      </w:numPr>
      <w:ind w:left="2126" w:hanging="425"/>
    </w:pPr>
  </w:style>
  <w:style w:type="paragraph" w:customStyle="1" w:styleId="16">
    <w:name w:val="Figure Description"/>
    <w:basedOn w:val="1"/>
    <w:qFormat/>
    <w:uiPriority w:val="0"/>
    <w:pPr>
      <w:numPr>
        <w:ilvl w:val="7"/>
        <w:numId w:val="1"/>
      </w:numPr>
      <w:ind w:left="1701"/>
    </w:pPr>
  </w:style>
  <w:style w:type="paragraph" w:customStyle="1" w:styleId="17">
    <w:name w:val="Table Description"/>
    <w:basedOn w:val="1"/>
    <w:qFormat/>
    <w:uiPriority w:val="0"/>
    <w:pPr>
      <w:numPr>
        <w:ilvl w:val="8"/>
        <w:numId w:val="1"/>
      </w:numPr>
      <w:ind w:left="170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mon\Desktop\INF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INFO.dot</Template>
  <Company>市人大办</Company>
  <Pages>26</Pages>
  <Words>4</Words>
  <Characters>4</Characters>
  <Lines>0</Lines>
  <Paragraphs>0</Paragraphs>
  <TotalTime>1</TotalTime>
  <ScaleCrop>false</ScaleCrop>
  <LinksUpToDate>false</LinksUpToDate>
  <CharactersWithSpaces>4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2026-06-07T11:12:00Z</dcterms:created>
  <dc:creator>Simon</dc:creator>
  <cp:lastModifiedBy>Simon</cp:lastModifiedBy>
  <dcterms:modified xsi:type="dcterms:W3CDTF">2026-07-25T15:26:17Z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   0-...</vt:lpwstr>
  </property>
  <property fmtid="{D5CDD505-2E9C-101B-9397-08002B2CF9AE}" pid="3" name="ICV">
    <vt:lpwstr>CA4E79EBF33249998408D0851584A290_11</vt:lpwstr>
  </property>
</Properties>
</file>