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gure-2-legend-and-derivation-notes"/>
    <w:p>
      <w:pPr>
        <w:pStyle w:val="Heading1"/>
      </w:pPr>
      <w:r>
        <w:t xml:space="preserve">Figure 2 — Legend and Derivation Notes</w:t>
      </w:r>
    </w:p>
    <w:p>
      <w:pPr>
        <w:pStyle w:val="FirstParagraph"/>
      </w:pPr>
      <w:r>
        <w:rPr>
          <w:b/>
          <w:bCs/>
        </w:rPr>
        <w:t xml:space="preserve">Figure 2: Integration of G4 scCUT&amp;Tag data with scRNA-seq using canonical correlation analysis (CCA).</w:t>
      </w:r>
    </w:p>
    <w:bookmarkStart w:id="9" w:name="data-sources-used-throughout-figure-2"/>
    <w:p>
      <w:pPr>
        <w:pStyle w:val="Heading2"/>
      </w:pPr>
      <w:r>
        <w:t xml:space="preserve">Data sources used throughout Figure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Sorted GFP+ brain G4 scCUT&amp;Tag (GSE291468, GSM8836086)</w:t>
      </w:r>
      <w:r>
        <w:t xml:space="preserve"> </w:t>
      </w:r>
      <w:r>
        <w:t xml:space="preserve">— single-cell peak/gene-activity matrices and processed Seurat integration object.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Brain scRNA-seq reference (GSE163484, Bartosovic et al.)</w:t>
      </w:r>
      <w:r>
        <w:t xml:space="preserve"> </w:t>
      </w:r>
      <w:r>
        <w:t xml:space="preserve">— processed reference object used for label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scBridge co-embedding and label-transfer outputs</w:t>
      </w:r>
      <w:r>
        <w:t xml:space="preserve"> </w:t>
      </w:r>
      <w:r>
        <w:t xml:space="preserve">— precomputed joint embedding (UMAP coordinates), per-cell predicted cell types and integration reliability for the GFP+ G4 cells. These de-novo outputs (not deposited on GEO) are read from</w:t>
      </w:r>
      <w:r>
        <w:t xml:space="preserve"> </w:t>
      </w:r>
      <w:r>
        <w:rPr>
          <w:rStyle w:val="VerbatimChar"/>
        </w:rPr>
        <w:t xml:space="preserve">results/scBridge/output/GFPsorted_Bartosovic/</w:t>
      </w:r>
      <w:r>
        <w:t xml:space="preserve">.</w:t>
      </w:r>
    </w:p>
    <w:p>
      <w:pPr>
        <w:pStyle w:val="FirstParagraph"/>
      </w:pPr>
      <w:r>
        <w:t xml:space="preserve">Panels are produced by the R script</w:t>
      </w:r>
      <w:r>
        <w:t xml:space="preserve"> </w:t>
      </w:r>
      <w:r>
        <w:rPr>
          <w:rStyle w:val="VerbatimChar"/>
        </w:rPr>
        <w:t xml:space="preserve">fig2/fig2.R</w:t>
      </w:r>
      <w:r>
        <w:t xml:space="preserve">, with preprocessing in</w:t>
      </w:r>
      <w:r>
        <w:t xml:space="preserve"> </w:t>
      </w:r>
      <w:r>
        <w:rPr>
          <w:rStyle w:val="VerbatimChar"/>
        </w:rPr>
        <w:t xml:space="preserve">fig2/seurat_integration.R</w:t>
      </w:r>
      <w:r>
        <w:t xml:space="preserve">.</w:t>
      </w:r>
    </w:p>
    <w:bookmarkEnd w:id="9"/>
    <w:bookmarkStart w:id="1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b/>
          <w:bCs/>
        </w:rPr>
        <w:t xml:space="preserve">Panel B — Co-embedded UMAPs.</w:t>
      </w:r>
      <w:r>
        <w:t xml:space="preserve"> </w:t>
      </w:r>
      <w:r>
        <w:t xml:space="preserve">Joint embedding of the GFP+ G4 cells (GSM8836086) and the scRNA-seq reference (GSE163484) obtained with scBridge. Four views share the same coordinates: data modality (G4 scCUT&amp;Tag vs scRNA-seq), reference cell-type labels, transferred (predicted) labels for the G4 cells, and integration reliability score. Tools: ggplot2 on the precomputed scBridge coordinates (</w:t>
      </w:r>
      <w:r>
        <w:rPr>
          <w:rStyle w:val="VerbatimChar"/>
        </w:rPr>
        <w:t xml:space="preserve">umap_coembedded.csv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scbridge_predictions.csv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scbridge_reliability.csv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Panel C — Prediction-score heatmap.</w:t>
      </w:r>
      <w:r>
        <w:t xml:space="preserve"> </w:t>
      </w:r>
      <w:r>
        <w:t xml:space="preserve">Heatmap of the class-transfer prediction scores for the GFP+ G4 cells across the reference cell types (Seurat label transfer on gene-activity; the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row is removed), colored with a viridis scale. Tool:</w:t>
      </w:r>
      <w:r>
        <w:t xml:space="preserve"> </w:t>
      </w:r>
      <w:r>
        <w:rPr>
          <w:rStyle w:val="VerbatimChar"/>
        </w:rPr>
        <w:t xml:space="preserve">ComplexHeatmap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D — Cluster/prediction correspondence.</w:t>
      </w:r>
      <w:r>
        <w:t xml:space="preserve"> </w:t>
      </w:r>
      <w:r>
        <w:t xml:space="preserve">D1: UMAP of the GFP+ G4 cells colored by Seurat cluster. D2: symmetric overlap-score heatmap quantifying the agreement between Seurat clusters and predicted cell types (fraction-of-cluster vs fraction-of-cell-type overlap, cell types abbreviated as in the manuscript: AST, MOL, OPC, COP-NFOL, OEC, VEC, VLMC, Pericytes).</w:t>
      </w:r>
    </w:p>
    <w:p>
      <w:pPr>
        <w:pStyle w:val="BodyText"/>
      </w:pPr>
      <w:r>
        <w:rPr>
          <w:b/>
          <w:bCs/>
        </w:rPr>
        <w:t xml:space="preserve">Panel E — scRNA-seq marker analysis.</w:t>
      </w:r>
      <w:r>
        <w:t xml:space="preserve"> </w:t>
      </w:r>
      <w:r>
        <w:t xml:space="preserve">Reference UMAP colored by cell type plus violin plots of the top differentially expressed marker gene per cell type, from</w:t>
      </w:r>
      <w:r>
        <w:t xml:space="preserve"> </w:t>
      </w:r>
      <w:r>
        <w:rPr>
          <w:rStyle w:val="VerbatimChar"/>
        </w:rPr>
        <w:t xml:space="preserve">FindAllMarkers</w:t>
      </w:r>
      <w:r>
        <w:t xml:space="preserve"> </w:t>
      </w:r>
      <w:r>
        <w:t xml:space="preserve">on the GSE163484 scRNA-seq reference.</w:t>
      </w:r>
    </w:p>
    <w:p>
      <w:pPr>
        <w:pStyle w:val="BodyText"/>
      </w:pPr>
      <w:r>
        <w:rPr>
          <w:b/>
          <w:bCs/>
        </w:rPr>
        <w:t xml:space="preserve">Panel F — G4/RNA co-enrichment feature plots.</w:t>
      </w:r>
      <w:r>
        <w:t xml:space="preserve"> </w:t>
      </w:r>
      <w:r>
        <w:t xml:space="preserve">For the same marker genes, UMAP feature plots on the shared embedding showing the G4 gene-activity score (GA assay, GSM8836086) and the normalized scRNA-seq expression (GSE163484), demonstrating co-enrichment of G4 activity and expression within the corresponding cell types.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2026-08-11T15:52:12Z</dcterms:created>
  <dcterms:modified xsi:type="dcterms:W3CDTF">2026-08-11T15:52:12Z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