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gure-3-legend-and-derivation-notes"/>
    <w:p>
      <w:pPr>
        <w:pStyle w:val="Heading1"/>
      </w:pPr>
      <w:r>
        <w:t xml:space="preserve">Figure 3 — Legend and Derivation Notes</w:t>
      </w:r>
    </w:p>
    <w:p>
      <w:pPr>
        <w:pStyle w:val="FirstParagraph"/>
      </w:pPr>
      <w:r>
        <w:rPr>
          <w:b/>
          <w:bCs/>
        </w:rPr>
        <w:t xml:space="preserve">Figure 3: Reliability-based annotation enhances cell-type assignment of G4 scCUT&amp;Tag data and identifies astrocyte-specific G4 signals.</w:t>
      </w:r>
    </w:p>
    <w:bookmarkStart w:id="9" w:name="data-sources-used-throughout-figure-3"/>
    <w:p>
      <w:pPr>
        <w:pStyle w:val="Heading2"/>
      </w:pPr>
      <w:r>
        <w:t xml:space="preserve">Data sources used throughout Figure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Sorted GFP+ brain G4 scCUT&amp;Tag (GSE291468, GSM8836086)</w:t>
      </w:r>
      <w:r>
        <w:t xml:space="preserve"> </w:t>
      </w:r>
      <w:r>
        <w:t xml:space="preserve">— gene-activity (GA) and peak assays, predicted-astrocyte and predicted-non-astrocyte RPGC signal tracks, and label-transfer prediction scores.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Brain scRNA-seq reference (GSE163484, Bartosovic et al.)</w:t>
      </w:r>
      <w:r>
        <w:t xml:space="preserve"> </w:t>
      </w:r>
      <w:r>
        <w:t xml:space="preserve">— processed reference object for co-embedding and marker expression.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scBridge outputs</w:t>
      </w:r>
      <w:r>
        <w:t xml:space="preserve"> </w:t>
      </w:r>
      <w:r>
        <w:t xml:space="preserve">— precomputed joint embedding, predictions and reliability (</w:t>
      </w:r>
      <w:r>
        <w:rPr>
          <w:rStyle w:val="VerbatimChar"/>
        </w:rPr>
        <w:t xml:space="preserve">results/scBridge/output/GFPsorted_Bartosovic/</w:t>
      </w:r>
      <w:r>
        <w:t xml:space="preserve">), used for the co-embedding and AST/non-AST definition.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Cicero co-accessibility</w:t>
      </w:r>
      <w:r>
        <w:t xml:space="preserve"> </w:t>
      </w:r>
      <w:r>
        <w:t xml:space="preserve">— co-accessibility model on the G4 peaks with candidate regulatory elements from a mouse-brain cCRE resource (Li et al., cCRE intervals with H3K27ac signal).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Ensembl mouse gene annotation (EnsDb, mm10)</w:t>
      </w:r>
      <w:r>
        <w:t xml:space="preserve"> </w:t>
      </w:r>
      <w:r>
        <w:t xml:space="preserve">— for TSS windows in coverage panels.</w:t>
      </w:r>
    </w:p>
    <w:p>
      <w:pPr>
        <w:pStyle w:val="FirstParagraph"/>
      </w:pPr>
      <w:r>
        <w:t xml:space="preserve">Panels are produced by the R script</w:t>
      </w:r>
      <w:r>
        <w:t xml:space="preserve"> </w:t>
      </w:r>
      <w:r>
        <w:rPr>
          <w:rStyle w:val="VerbatimChar"/>
        </w:rPr>
        <w:t xml:space="preserve">fig3/fig3.R</w:t>
      </w:r>
      <w:r>
        <w:t xml:space="preserve">, with supporting analyses in</w:t>
      </w:r>
      <w:r>
        <w:t xml:space="preserve"> </w:t>
      </w:r>
      <w:r>
        <w:rPr>
          <w:rStyle w:val="VerbatimChar"/>
        </w:rPr>
        <w:t xml:space="preserve">fig3/cicero.R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fig3/scbridge_input.R</w:t>
      </w:r>
      <w:r>
        <w:t xml:space="preserve">.</w:t>
      </w:r>
    </w:p>
    <w:bookmarkEnd w:id="9"/>
    <w:bookmarkStart w:id="10" w:name="panels"/>
    <w:p>
      <w:pPr>
        <w:pStyle w:val="Heading2"/>
      </w:pPr>
      <w:r>
        <w:t xml:space="preserve">Panels</w:t>
      </w:r>
    </w:p>
    <w:p>
      <w:pPr>
        <w:pStyle w:val="FirstParagraph"/>
      </w:pPr>
      <w:r>
        <w:rPr>
          <w:b/>
          <w:bCs/>
        </w:rPr>
        <w:t xml:space="preserve">Panel A — scBridge joint-embedding UMAP.</w:t>
      </w:r>
      <w:r>
        <w:t xml:space="preserve"> </w:t>
      </w:r>
      <w:r>
        <w:t xml:space="preserve">Four views on a single co-embedding of the GFP+ G4 cells (GSM8836086) and the scRNA-seq reference (GSE163484): reference cell types, data modality, transferred (predicted) labels for the G4 cells, and integration reliability. Tools: ggplot2 on precomputed scBridge coordinates.</w:t>
      </w:r>
    </w:p>
    <w:p>
      <w:pPr>
        <w:pStyle w:val="BodyText"/>
      </w:pPr>
      <w:r>
        <w:rPr>
          <w:b/>
          <w:bCs/>
        </w:rPr>
        <w:t xml:space="preserve">Panel B — Astrocyte (AST) vs non-AST differential G4.</w:t>
      </w:r>
      <w:r>
        <w:t xml:space="preserve"> </w:t>
      </w:r>
      <w:r>
        <w:t xml:space="preserve">Left: UMAP of the GFP+ G4 cells colored by AST/non-AST status (prediction label</w:t>
      </w:r>
      <w:r>
        <w:t xml:space="preserve"> </w:t>
      </w:r>
      <w:r>
        <w:t xml:space="preserve">“AST”</w:t>
      </w:r>
      <w:r>
        <w:t xml:space="preserve"> </w:t>
      </w:r>
      <w:r>
        <w:t xml:space="preserve">vs all other reliable labels). Right: volcano plot of differential gene-activity scores between predicted AST and non-AST cells, computed with Seurat</w:t>
      </w:r>
      <w:r>
        <w:t xml:space="preserve"> </w:t>
      </w:r>
      <w:r>
        <w:rPr>
          <w:rStyle w:val="VerbatimChar"/>
        </w:rPr>
        <w:t xml:space="preserve">FindMarkers</w:t>
      </w:r>
      <w:r>
        <w:t xml:space="preserve"> </w:t>
      </w:r>
      <w:r>
        <w:t xml:space="preserve">(logistic-regression test on the GA assay with fragment count as latent variable). Thresholds: |log2 fold change| &gt; 0.5 and adjusted P &lt; 0.05. Genes highlighted in the volcano (e.g. </w:t>
      </w:r>
      <w:r>
        <w:rPr>
          <w:i/>
          <w:iCs/>
        </w:rPr>
        <w:t xml:space="preserve">Tnik</w:t>
      </w:r>
      <w:r>
        <w:t xml:space="preserve">,</w:t>
      </w:r>
      <w:r>
        <w:t xml:space="preserve"> </w:t>
      </w:r>
      <w:r>
        <w:rPr>
          <w:i/>
          <w:iCs/>
        </w:rPr>
        <w:t xml:space="preserve">Pitpnc1</w:t>
      </w:r>
      <w:r>
        <w:t xml:space="preserve">,</w:t>
      </w:r>
      <w:r>
        <w:t xml:space="preserve"> </w:t>
      </w:r>
      <w:r>
        <w:rPr>
          <w:i/>
          <w:iCs/>
        </w:rPr>
        <w:t xml:space="preserve">Pbx1</w:t>
      </w:r>
      <w:r>
        <w:t xml:space="preserve">,</w:t>
      </w:r>
      <w:r>
        <w:t xml:space="preserve"> </w:t>
      </w:r>
      <w:r>
        <w:rPr>
          <w:i/>
          <w:iCs/>
        </w:rPr>
        <w:t xml:space="preserve">Nwd1</w:t>
      </w:r>
      <w:r>
        <w:t xml:space="preserve">) are followed up in C and D.</w:t>
      </w:r>
    </w:p>
    <w:p>
      <w:pPr>
        <w:pStyle w:val="BodyText"/>
      </w:pPr>
      <w:r>
        <w:rPr>
          <w:b/>
          <w:bCs/>
        </w:rPr>
        <w:t xml:space="preserve">Panel C — Coverage at astrocyte marker genes.</w:t>
      </w:r>
      <w:r>
        <w:t xml:space="preserve"> </w:t>
      </w:r>
      <w:r>
        <w:t xml:space="preserve">Genome coverage (RPGC) at the TSS ± 5 kb of top astrocyte marker genes (plus the four highlighted genes), comparing the predicted-astrocyte and predicted-non-astrocyte RPGC tracks (GSM8836086). Tool: Signac</w:t>
      </w:r>
      <w:r>
        <w:t xml:space="preserve"> </w:t>
      </w:r>
      <w:r>
        <w:rPr>
          <w:rStyle w:val="VerbatimChar"/>
        </w:rPr>
        <w:t xml:space="preserve">CoveragePlot</w:t>
      </w:r>
      <w:r>
        <w:t xml:space="preserve"> </w:t>
      </w:r>
      <w:r>
        <w:t xml:space="preserve">on bigWig tracks with a common scale.</w:t>
      </w:r>
    </w:p>
    <w:p>
      <w:pPr>
        <w:pStyle w:val="BodyText"/>
      </w:pPr>
      <w:r>
        <w:rPr>
          <w:b/>
          <w:bCs/>
        </w:rPr>
        <w:t xml:space="preserve">Panel D — Astrocyte-specific gene expression feature plots.</w:t>
      </w:r>
      <w:r>
        <w:t xml:space="preserve"> </w:t>
      </w:r>
      <w:r>
        <w:t xml:space="preserve">UMAP feature plots of normalized scRNA-seq expression for the four highlighted astrocyte genes on the scRNA-seq reference cells (GSE163484), on the same co-embedding coordinates as panel A.</w:t>
      </w:r>
    </w:p>
    <w:p>
      <w:pPr>
        <w:pStyle w:val="BodyText"/>
      </w:pPr>
      <w:r>
        <w:rPr>
          <w:b/>
          <w:bCs/>
        </w:rPr>
        <w:t xml:space="preserve">Panel E — Cicero co-accessibility browser tracks.</w:t>
      </w:r>
      <w:r>
        <w:t xml:space="preserve"> </w:t>
      </w:r>
      <w:r>
        <w:t xml:space="preserve">Candidate regulatory-element browser views connecting astrocyte-specific G4 peaks with mouse-brain cCREs (cCREs with H3K27ac signal above the 75th percentile), with G4 peaks, PQS sites and regulatory elements indicated; aggregated AST and non-AST G4 coverage are shown alongside. Derived from the Cicero co-accessibility analysis on the G4 peaks.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2026-08-11T15:52:22Z</dcterms:created>
  <dcterms:modified xsi:type="dcterms:W3CDTF">2026-08-11T15:52:22Z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