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97d17d02471cc0a846ec9fba7e2365adbf91a1"/>
    <w:p>
      <w:pPr>
        <w:pStyle w:val="Heading1"/>
      </w:pPr>
      <w:r>
        <w:t xml:space="preserve">Revision Figures — Legend and Derivation Notes</w:t>
      </w:r>
    </w:p>
    <w:p>
      <w:pPr>
        <w:pStyle w:val="FirstParagraph"/>
      </w:pPr>
      <w:r>
        <w:t xml:space="preserve">The revision/rebuttal panels (F01–F23) answer reviewer questions about G4</w:t>
      </w:r>
      <w:r>
        <w:t xml:space="preserve"> </w:t>
      </w:r>
      <w:r>
        <w:t xml:space="preserve">signal reproducibility, functional annotation, independence from chromatin</w:t>
      </w:r>
      <w:r>
        <w:t xml:space="preserve"> </w:t>
      </w:r>
      <w:r>
        <w:t xml:space="preserve">accessibility, and QC of the neural datasets. Each panel was produced by an</w:t>
      </w:r>
      <w:r>
        <w:t xml:space="preserve"> </w:t>
      </w:r>
      <w:r>
        <w:t xml:space="preserve">R script under</w:t>
      </w:r>
      <w:r>
        <w:t xml:space="preserve"> </w:t>
      </w:r>
      <w:r>
        <w:rPr>
          <w:rStyle w:val="VerbatimChar"/>
        </w:rPr>
        <w:t xml:space="preserve">rev/</w:t>
      </w:r>
      <w:r>
        <w:t xml:space="preserve"> </w:t>
      </w:r>
      <w:r>
        <w:t xml:space="preserve">(</w:t>
      </w:r>
      <w:r>
        <w:rPr>
          <w:rStyle w:val="VerbatimChar"/>
        </w:rPr>
        <w:t xml:space="preserve">rev_F*.R</w:t>
      </w:r>
      <w:r>
        <w:t xml:space="preserve">), writing to</w:t>
      </w:r>
      <w:r>
        <w:t xml:space="preserve"> </w:t>
      </w:r>
      <w:r>
        <w:rPr>
          <w:rStyle w:val="VerbatimChar"/>
        </w:rPr>
        <w:t xml:space="preserve">rev/outputs/</w:t>
      </w:r>
      <w:r>
        <w:t xml:space="preserve">.</w:t>
      </w:r>
    </w:p>
    <w:bookmarkStart w:id="9" w:name="shared-data-sources"/>
    <w:p>
      <w:pPr>
        <w:pStyle w:val="Heading2"/>
      </w:pPr>
      <w:r>
        <w:t xml:space="preserve">Shared data 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mESC-MEF single-cell G4 scCUT&amp;Tag (GSE291468, GSM8836088)</w:t>
      </w:r>
      <w:r>
        <w:t xml:space="preserve"> </w:t>
      </w:r>
      <w:r>
        <w:t xml:space="preserve">— cluster-specific (cluster 0 = MEF, cluster 1 = mESC) MACS2 narrowPeak sets, pseudobulk cluster RPGC tracks, and the single-cell Seurat object.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Bulk G4 CUT&amp;Tag (GSE291468)</w:t>
      </w:r>
      <w:r>
        <w:t xml:space="preserve"> </w:t>
      </w:r>
      <w:r>
        <w:t xml:space="preserve">— bulk mESC replicates (GSM8836082, GSM8836083) and bulk MEF/3T3 replicates (GSM8836084, GSM8836085) as broadPeak calls and RPGC bigWigs.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Sorted GFP+ brain G4 (GSE291468, GSM8836086)</w:t>
      </w:r>
      <w:r>
        <w:t xml:space="preserve"> </w:t>
      </w:r>
      <w:r>
        <w:t xml:space="preserve">— predicted-astrocyte / predicted-non-astrocyte RPGC tracks and label-transfer outputs.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Unsorted mouse-brain G4 (GSE291468, GSM8836087)</w:t>
      </w:r>
      <w:r>
        <w:t xml:space="preserve"> </w:t>
      </w:r>
      <w:r>
        <w:t xml:space="preserve">— Seurat object, cluster-specific peak sets and cluster RPGC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mESC ATAC-seq (GSE149080, GSM4661960)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3T3 ATAC-seq (GSE211123, GSM6451000)</w:t>
      </w:r>
      <w:r>
        <w:t xml:space="preserve"> </w:t>
      </w:r>
      <w:r>
        <w:t xml:space="preserve">— matched bulk accessibility peak sets and RPGC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Published 3T3 G4 CUT&amp;Tag (GSE217860, GSM6729104–GSM6729106)</w:t>
      </w:r>
      <w:r>
        <w:t xml:space="preserve"> </w:t>
      </w:r>
      <w:r>
        <w:t xml:space="preserve">— three replicates used as an independent bulk benchmark.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Brain snATAC reference (GSE198467)</w:t>
      </w:r>
      <w:r>
        <w:t xml:space="preserve"> </w:t>
      </w:r>
      <w:r>
        <w:t xml:space="preserve">— clustered Seurat object with 15 named cell types.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 expression reference</w:t>
      </w:r>
      <w:r>
        <w:t xml:space="preserve"> </w:t>
      </w:r>
      <w:r>
        <w:t xml:space="preserve">— per-gene TPM table (mESC/MEF) and the mm10 GENCODE annotation GTF.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G4 references</w:t>
      </w:r>
      <w:r>
        <w:t xml:space="preserve"> </w:t>
      </w:r>
      <w:r>
        <w:t xml:space="preserve">— genome-wide pqsfinder PQS predictions (mm10; BED + score bigWig) and an experimentally validated eG4 catalog.</w:t>
      </w:r>
    </w:p>
    <w:bookmarkEnd w:id="9"/>
    <w:bookmarkStart w:id="1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b/>
          <w:bCs/>
        </w:rPr>
        <w:t xml:space="preserve">F01 — Genomic feature distribution (bulk vs scCUT&amp;Tag).</w:t>
      </w:r>
      <w:r>
        <w:t xml:space="preserve"> </w:t>
      </w:r>
      <w:r>
        <w:t xml:space="preserve">Fraction of G4 peaks assigned to genomic features (promoter TSS ± 2 kb, 5′ UTR, 3′ UTR, CDS exon, intron, intergenic) for bulk-consensus vs single-cell pseudobulk peaks in mESC and MEF. Bulk consensus built from the two bulk replicates (GSM8836082/83 mESC; GSM8836084/85 MEF) with</w:t>
      </w:r>
      <w:r>
        <w:t xml:space="preserve"> </w:t>
      </w:r>
      <w:r>
        <w:rPr>
          <w:rStyle w:val="VerbatimChar"/>
        </w:rPr>
        <w:t xml:space="preserve">bedscout::loci_consensus</w:t>
      </w:r>
      <w:r>
        <w:t xml:space="preserve"> </w:t>
      </w:r>
      <w:r>
        <w:t xml:space="preserve">(min 2 replicates); pseudobulk = GSM8836088 cluster peaks. Features derived from the mm10 GENCODE GTF; each peak classified by a midpoint priority cascade (GenomicRanges).</w:t>
      </w:r>
    </w:p>
    <w:p>
      <w:pPr>
        <w:pStyle w:val="BodyText"/>
      </w:pPr>
      <w:r>
        <w:rPr>
          <w:b/>
          <w:bCs/>
        </w:rPr>
        <w:t xml:space="preserve">F03 — Distance-to-TSS distribution.</w:t>
      </w:r>
      <w:r>
        <w:t xml:space="preserve"> </w:t>
      </w:r>
      <w:r>
        <w:t xml:space="preserve">Signed distance of each bulk-consensus and pseudobulk G4 peak to the nearest transcript TSS (mm10 GENCODE), shown as binned bars per cell type. Same peak inputs as F01; demonstrates that bulk and single-cell G4 peaks share the same spatial relationship to genes.</w:t>
      </w:r>
    </w:p>
    <w:p>
      <w:pPr>
        <w:pStyle w:val="BodyText"/>
      </w:pPr>
      <w:r>
        <w:rPr>
          <w:b/>
          <w:bCs/>
        </w:rPr>
        <w:t xml:space="preserve">F04 — Stratified recovery of bulk peaks.</w:t>
      </w:r>
      <w:r>
        <w:t xml:space="preserve"> </w:t>
      </w:r>
      <w:r>
        <w:t xml:space="preserve">For each cell type, bulk-consensus peaks are binned into signal deciles (signalValue) and the percentage recovered in the scCUT&amp;Tag pseudobulk is plotted per decile, plus Jaccard/overlap statistics. Inputs as F01; tools</w:t>
      </w:r>
      <w:r>
        <w:t xml:space="preserve"> </w:t>
      </w:r>
      <w:r>
        <w:rPr>
          <w:rStyle w:val="VerbatimChar"/>
        </w:rPr>
        <w:t xml:space="preserve">bedscout::jaccard_index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total_bp_overlap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F05 — G4 promoter signal vs gene expression.</w:t>
      </w:r>
      <w:r>
        <w:t xml:space="preserve"> </w:t>
      </w:r>
      <w:r>
        <w:t xml:space="preserve">Mean G4 RPGC signal at gene promoters (TSS ± 2 kb) of the two scCUT&amp;Tag clusters plotted against matched-cell-type RNA-seq expression deciles (mESC/MEF TPM reference). Cluster pseudobulk RPGC tracks from GSE291468; expression from the TPM reference.</w:t>
      </w:r>
    </w:p>
    <w:p>
      <w:pPr>
        <w:pStyle w:val="BodyText"/>
      </w:pPr>
      <w:r>
        <w:rPr>
          <w:b/>
          <w:bCs/>
        </w:rPr>
        <w:t xml:space="preserve">F06 — G4–expression relationship (overlay and metagene).</w:t>
      </w:r>
      <w:r>
        <w:t xml:space="preserve"> </w:t>
      </w:r>
      <w:r>
        <w:t xml:space="preserve">Left: both clusters overlaid as mean promoter-signal vs expression-decile lines with SEM ribbons. Right: metagene profile of G4 signal ± 3 kb around the TSS stratified by expression quintile. Inputs as F05.</w:t>
      </w:r>
    </w:p>
    <w:p>
      <w:pPr>
        <w:pStyle w:val="BodyText"/>
      </w:pPr>
      <w:r>
        <w:rPr>
          <w:b/>
          <w:bCs/>
        </w:rPr>
        <w:t xml:space="preserve">F09 / F10 — GO Biological Process of cell-specific G4 peaks.</w:t>
      </w:r>
      <w:r>
        <w:t xml:space="preserve"> </w:t>
      </w:r>
      <w:r>
        <w:t xml:space="preserve">Cluster-discriminating (unique) peaks are extracted from the bulk-vs-cluster overlap analysis (bulk G4 CUT&amp;Tag GSM8836082/84 vs GSM8836088 cluster peaks), annotated to nearest genes, and tested for GO-BP enrichment (clusterProfiler</w:t>
      </w:r>
      <w:r>
        <w:t xml:space="preserve"> </w:t>
      </w:r>
      <w:r>
        <w:rPr>
          <w:rStyle w:val="VerbatimChar"/>
        </w:rPr>
        <w:t xml:space="preserve">enrichGO</w:t>
      </w:r>
      <w:r>
        <w:t xml:space="preserve">, BH-corrected, simplified). Dot plots show the top terms for MEF-specific (F09) and mESC-specific (F10) peaks.</w:t>
      </w:r>
    </w:p>
    <w:p>
      <w:pPr>
        <w:pStyle w:val="BodyText"/>
      </w:pPr>
      <w:r>
        <w:rPr>
          <w:b/>
          <w:bCs/>
        </w:rPr>
        <w:t xml:space="preserve">F11 — Fig 3C threshold validation.</w:t>
      </w:r>
      <w:r>
        <w:t xml:space="preserve"> </w:t>
      </w:r>
      <w:r>
        <w:t xml:space="preserve">For the four astrocyte G4-marked genes (</w:t>
      </w:r>
      <w:r>
        <w:rPr>
          <w:i/>
          <w:iCs/>
        </w:rPr>
        <w:t xml:space="preserve">Tnik</w:t>
      </w:r>
      <w:r>
        <w:t xml:space="preserve">,</w:t>
      </w:r>
      <w:r>
        <w:t xml:space="preserve"> </w:t>
      </w:r>
      <w:r>
        <w:rPr>
          <w:i/>
          <w:iCs/>
        </w:rPr>
        <w:t xml:space="preserve">Pitpnc1</w:t>
      </w:r>
      <w:r>
        <w:t xml:space="preserve">,</w:t>
      </w:r>
      <w:r>
        <w:t xml:space="preserve"> </w:t>
      </w:r>
      <w:r>
        <w:rPr>
          <w:i/>
          <w:iCs/>
        </w:rPr>
        <w:t xml:space="preserve">Pbx1</w:t>
      </w:r>
      <w:r>
        <w:t xml:space="preserve">,</w:t>
      </w:r>
      <w:r>
        <w:t xml:space="preserve"> </w:t>
      </w:r>
      <w:r>
        <w:rPr>
          <w:i/>
          <w:iCs/>
        </w:rPr>
        <w:t xml:space="preserve">Nwd1</w:t>
      </w:r>
      <w:r>
        <w:t xml:space="preserve">), G4 peaks are re-called from the predicted-astrocyte vs predicted-non-astrocyte RPGC tracks (GSM8836086) by signal thresholding (≥ 30/40/50 RPGC, min width 100 bp) and the number of peaks overlapping a PQS site is plotted per gene and threshold. Supporting table records the AST/non-AST peak-count ratio across thresholds.</w:t>
      </w:r>
    </w:p>
    <w:p>
      <w:pPr>
        <w:pStyle w:val="BodyText"/>
      </w:pPr>
      <w:r>
        <w:rPr>
          <w:b/>
          <w:bCs/>
        </w:rPr>
        <w:t xml:space="preserve">F12 — PQS overlap of scG4 peaks.</w:t>
      </w:r>
      <w:r>
        <w:t xml:space="preserve"> </w:t>
      </w:r>
      <w:r>
        <w:t xml:space="preserve">Percentage of scCUT&amp;Tag cluster peaks (GSM8836088) overlapping at least one PQS site, pairwise Euler diagrams (cluster 0 / cluster 1 vs PQS), and significance assessment (binomial test against genomic expectation and a regioneR permutation test, 1,000 permutations on chr1).</w:t>
      </w:r>
    </w:p>
    <w:p>
      <w:pPr>
        <w:pStyle w:val="BodyText"/>
      </w:pPr>
      <w:r>
        <w:rPr>
          <w:b/>
          <w:bCs/>
        </w:rPr>
        <w:t xml:space="preserve">F13 — Published bulk 3T3 G4 signal at scG4 peaks.</w:t>
      </w:r>
      <w:r>
        <w:t xml:space="preserve"> </w:t>
      </w:r>
      <w:r>
        <w:t xml:space="preserve">Heatmap of the published bulk 3T3 G4 CUT&amp;Tag replicates (GSE217860) and PQS score at scCUT&amp;Tag MEF cluster-0 peaks (± 2 kb, rows sorted by scG4 signal). Tool:</w:t>
      </w:r>
      <w:r>
        <w:t xml:space="preserve"> </w:t>
      </w:r>
      <w:r>
        <w:rPr>
          <w:rStyle w:val="VerbatimChar"/>
        </w:rPr>
        <w:t xml:space="preserve">EnrichedHeatmap::normalizeToMatrix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ComplexHeatmap</w:t>
      </w:r>
      <w:r>
        <w:t xml:space="preserve">; supporting Spearman correlation matrix among scG4, bulk replicates and PQS.</w:t>
      </w:r>
    </w:p>
    <w:p>
      <w:pPr>
        <w:pStyle w:val="BodyText"/>
      </w:pPr>
      <w:r>
        <w:rPr>
          <w:b/>
          <w:bCs/>
        </w:rPr>
        <w:t xml:space="preserve">F14 — Unsorted brain G4 vs per-cluster brain ATAC enrichment.</w:t>
      </w:r>
      <w:r>
        <w:t xml:space="preserve"> </w:t>
      </w:r>
      <w:r>
        <w:t xml:space="preserve">Genome-wide fold enrichment over random (regioneR</w:t>
      </w:r>
      <w:r>
        <w:t xml:space="preserve"> </w:t>
      </w:r>
      <w:r>
        <w:rPr>
          <w:rStyle w:val="VerbatimChar"/>
        </w:rPr>
        <w:t xml:space="preserve">overlapPermTest</w:t>
      </w:r>
      <w:r>
        <w:t xml:space="preserve">, 1,000 permutations; 95% bootstrap CI) of merged unsorted brain G4 peaks (GSM8836087) and per-cell-type brain ATAC accessible peaks (derived from the GSE198467 snATAC object, ≥ 5% cells per cluster) against the PQS and eG4 references. Stars indicate bootstrap tests that G4 enrichment exceeds each ATAC cluster.</w:t>
      </w:r>
    </w:p>
    <w:p>
      <w:pPr>
        <w:pStyle w:val="BodyText"/>
      </w:pPr>
      <w:r>
        <w:rPr>
          <w:b/>
          <w:bCs/>
        </w:rPr>
        <w:t xml:space="preserve">F15 — scCUT&amp;Tag pseudobulk vs matched bulk ATAC enrichment.</w:t>
      </w:r>
      <w:r>
        <w:t xml:space="preserve"> </w:t>
      </w:r>
      <w:r>
        <w:t xml:space="preserve">Same permTest design for the cell-line data: cluster 0 (MEF) vs 3T3 ATAC (GSE211123, GSM6451000) and cluster 1 (mESC) vs mESC ATAC (GSE149080, GSM4661960), for the PQS and eG4 references, with a bracket testing scG4 &gt; matched ATAC.</w:t>
      </w:r>
    </w:p>
    <w:p>
      <w:pPr>
        <w:pStyle w:val="BodyText"/>
      </w:pPr>
      <w:r>
        <w:rPr>
          <w:b/>
          <w:bCs/>
        </w:rPr>
        <w:t xml:space="preserve">F16 / F17 — g:Profiler enrichment of cell-specific G4 peak genes.</w:t>
      </w:r>
      <w:r>
        <w:t xml:space="preserve"> </w:t>
      </w:r>
      <w:r>
        <w:t xml:space="preserve">g:Profiler (</w:t>
      </w:r>
      <w:r>
        <w:rPr>
          <w:rStyle w:val="VerbatimChar"/>
        </w:rPr>
        <w:t xml:space="preserve">gost</w:t>
      </w:r>
      <w:r>
        <w:t xml:space="preserve">, multi-source: GO, KEGG, Reactome, WikiPathways, TF, etc.; whole-genome background, g:SCS correction) on the genes nearest to the mESC-unique (F16) and MEF-unique (F17) G4 peaks. Dot plots highlight self-renewal/pluripotency/signalling terms for mESC and fibroblast/cytoskeleton/ECM terms for MEF.</w:t>
      </w:r>
    </w:p>
    <w:p>
      <w:pPr>
        <w:pStyle w:val="BodyText"/>
      </w:pPr>
      <w:r>
        <w:rPr>
          <w:b/>
          <w:bCs/>
        </w:rPr>
        <w:t xml:space="preserve">F18 — scG4 vs ATAC peak-overlap Venn.</w:t>
      </w:r>
      <w:r>
        <w:t xml:space="preserve"> </w:t>
      </w:r>
      <w:r>
        <w:t xml:space="preserve">Euler diagrams of scG4 cluster peaks (GSM8836088) vs matched bulk ATAC peaks (GSE149080 mESC; GSE211123 3T3), showing a large fraction of scG4 peaks with no ATAC peak.</w:t>
      </w:r>
    </w:p>
    <w:p>
      <w:pPr>
        <w:pStyle w:val="BodyText"/>
      </w:pPr>
      <w:r>
        <w:rPr>
          <w:b/>
          <w:bCs/>
        </w:rPr>
        <w:t xml:space="preserve">F19 — Accessibility-independent G4 enrichment.</w:t>
      </w:r>
      <w:r>
        <w:t xml:space="preserve"> </w:t>
      </w:r>
      <w:r>
        <w:t xml:space="preserve">F19a: percentage of peaks overlapping the eG4 and PQS references per class (scG4 &amp; ATAC, scG4-only, ATAC-only, random), showing scG4-marked sites are G4-enriched independent of accessibility. F19b: mean scG4 and ATAC RPGC signal by class, showing strong G4 signal at low accessibility.</w:t>
      </w:r>
    </w:p>
    <w:p>
      <w:pPr>
        <w:pStyle w:val="BodyText"/>
      </w:pPr>
      <w:r>
        <w:rPr>
          <w:b/>
          <w:bCs/>
        </w:rPr>
        <w:t xml:space="preserve">F21 — eG4-overlap benchmark.</w:t>
      </w:r>
      <w:r>
        <w:t xml:space="preserve"> </w:t>
      </w:r>
      <w:r>
        <w:t xml:space="preserve">Percentage of peaks overlapping the validated eG4 reference for bulk G4 CUT&amp;Tag peaks, all scG4 peaks, scG4-only peaks and random regions per cell type, benchmarking that even bulk G4 reaches only ~32–36% and scG4-only peaks remain 21–40× over random.</w:t>
      </w:r>
    </w:p>
    <w:p>
      <w:pPr>
        <w:pStyle w:val="BodyText"/>
      </w:pPr>
      <w:r>
        <w:rPr>
          <w:b/>
          <w:bCs/>
        </w:rPr>
        <w:t xml:space="preserve">F20 — G4 motif density in scG4 vs ATAC peaks.</w:t>
      </w:r>
      <w:r>
        <w:t xml:space="preserve"> </w:t>
      </w:r>
      <w:r>
        <w:t xml:space="preserve">Matched-N, matched-width (summit ± 150 bp) scCUT&amp;Tag and ATAC peaks (GSM8836088; GSE149080/GSE211123) are scored for G4-forming potential: pqsfinder maximum G4 score (F20a) and canonical G4 motif counts (regex, both strands; F20b). Demonstrates stronger G4-motif enrichment in scG4 than ATAC (MEF; p ≪ 0.001, Wilcoxon).</w:t>
      </w:r>
    </w:p>
    <w:p>
      <w:pPr>
        <w:pStyle w:val="BodyText"/>
      </w:pPr>
      <w:r>
        <w:rPr>
          <w:b/>
          <w:bCs/>
        </w:rPr>
        <w:t xml:space="preserve">F22 — Astrocyte genes in brain snATAC.</w:t>
      </w:r>
      <w:r>
        <w:t xml:space="preserve"> </w:t>
      </w:r>
      <w:r>
        <w:t xml:space="preserve">Independent accessibility check of the Fig 3C genes (</w:t>
      </w:r>
      <w:r>
        <w:rPr>
          <w:i/>
          <w:iCs/>
        </w:rPr>
        <w:t xml:space="preserve">Tnik</w:t>
      </w:r>
      <w:r>
        <w:t xml:space="preserve">,</w:t>
      </w:r>
      <w:r>
        <w:t xml:space="preserve"> </w:t>
      </w:r>
      <w:r>
        <w:rPr>
          <w:i/>
          <w:iCs/>
        </w:rPr>
        <w:t xml:space="preserve">Pitpnc1</w:t>
      </w:r>
      <w:r>
        <w:t xml:space="preserve">,</w:t>
      </w:r>
      <w:r>
        <w:t xml:space="preserve"> </w:t>
      </w:r>
      <w:r>
        <w:rPr>
          <w:i/>
          <w:iCs/>
        </w:rPr>
        <w:t xml:space="preserve">Pbx1</w:t>
      </w:r>
      <w:r>
        <w:t xml:space="preserve">,</w:t>
      </w:r>
      <w:r>
        <w:t xml:space="preserve"> </w:t>
      </w:r>
      <w:r>
        <w:rPr>
          <w:i/>
          <w:iCs/>
        </w:rPr>
        <w:t xml:space="preserve">Nwd1</w:t>
      </w:r>
      <w:r>
        <w:t xml:space="preserve">): mean scATAC gene-activity in astrocyte (AST_NT + AST_TE) vs non-astrocyte cells of the GSE198467 brain snATAC object, with fold change and Wilcoxon P per gene.</w:t>
      </w:r>
    </w:p>
    <w:p>
      <w:pPr>
        <w:pStyle w:val="BodyText"/>
      </w:pPr>
      <w:r>
        <w:rPr>
          <w:b/>
          <w:bCs/>
        </w:rPr>
        <w:t xml:space="preserve">F23 — Neural scG4 data quality (QC).</w:t>
      </w:r>
      <w:r>
        <w:t xml:space="preserve"> </w:t>
      </w:r>
      <w:r>
        <w:t xml:space="preserve">F23a: per-cell QC violins (reads/cell, FRiP, TSS fragments, peaks detected) for the unsorted mouse-brain G4 dataset (GSM8836087 Seurat object) split by cluster. F23b: cross-dataset comparison of median high-quality fragments/cell and FRiP across the mESC-MEF cell line, sorted (GFP+) brain and unsorted brain datasets (Cell Ranger values).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2026-08-11T15:52:23Z</dcterms:created>
  <dcterms:modified xsi:type="dcterms:W3CDTF">2026-08-11T15:52:23Z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