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تعريفها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أسبابها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وطرق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الحد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1"/>
        </w:rPr>
        <w:t xml:space="preserve">منها</w:t>
      </w:r>
    </w:p>
    <w:p w:rsidR="00000000" w:rsidDel="00000000" w:rsidP="00000000" w:rsidRDefault="00000000" w:rsidRPr="00000000" w14:paraId="00000002">
      <w:pPr>
        <w:shd w:fill="ffffff" w:val="clear"/>
        <w:spacing w:after="240" w:line="360" w:lineRule="auto"/>
        <w:jc w:val="both"/>
        <w:rPr>
          <w:rFonts w:ascii="Almarai" w:cs="Almarai" w:eastAsia="Almarai" w:hAnsi="Almarai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24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ثعتبر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أخطر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الظواهر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تهد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سلامة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البيئة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والإنسان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أنحاء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الظاهرة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السلبي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صيب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البيئة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نتيجة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عوامل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أهمها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التطور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الصناعي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والتكنولولجي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نعيشه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ُ،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ونحن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المقالة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سنتحدث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وأهم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shd w:fill="ffffff" w:val="clear"/>
        <w:bidi w:val="1"/>
        <w:spacing w:after="240" w:line="360" w:lineRule="auto"/>
        <w:jc w:val="both"/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0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8"/>
            <w:szCs w:val="28"/>
            <w:u w:val="none"/>
            <w:rtl w:val="1"/>
          </w:rPr>
          <w:t xml:space="preserve">الاحتباس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8"/>
            <w:szCs w:val="28"/>
            <w:u w:val="none"/>
            <w:rtl w:val="1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8"/>
            <w:szCs w:val="28"/>
            <w:u w:val="none"/>
            <w:rtl w:val="1"/>
          </w:rPr>
          <w:t xml:space="preserve">الحراري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مصطلح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يطلق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ارتفاع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درجات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معد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الطبيعي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نتيجة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تغي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رات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سيلان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الطاقة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البيئة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وإليها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نتيجة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الضارة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كالغازات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تتمثل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بغاز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النيتروز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الميتان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والأوزون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00"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الظاهرة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الارتفاع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التدريجي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درجة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حرارة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الطبقة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السفلى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القريبة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سطح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المحيط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بالأرض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وسبب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الارتفاع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غازات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الصوبة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الخضراء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وأهم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الميثان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يتكون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تفاعلات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ميكروبية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حقول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الأرز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وتربية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الحيوانات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المجترة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حرق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الكتلة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الحيوية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الأشجار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والنباتات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ومخلفات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الحيوانات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ينتج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مياه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المستنقعات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الآسنة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وبالإضافة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الميثان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النيروز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يتكون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تفاعلات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ميكروبية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تحدث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المياه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والتربة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ومجموعة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غازات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الكلوروفلوروكربون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تتسبب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تآكل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طبقة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الأوزون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وأخيرا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الأوزون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يتكون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طبقات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الجو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السفلي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7">
      <w:pPr>
        <w:shd w:fill="ffffff" w:val="clear"/>
        <w:bidi w:val="1"/>
        <w:spacing w:after="240" w:line="360" w:lineRule="auto"/>
        <w:jc w:val="both"/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تفسير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00"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الأنشطة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حرق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الأحفوري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وإزالة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الغابات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تركيز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وهناك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عوامل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طبيعية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ثوران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البراكين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وتغيرات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النشاط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الشمسي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9">
      <w:pPr>
        <w:shd w:fill="ffffff" w:val="clear"/>
        <w:bidi w:val="1"/>
        <w:spacing w:after="240" w:line="360" w:lineRule="auto"/>
        <w:jc w:val="both"/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اثار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00"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آثار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عديدة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كوكب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bidi w:val="1"/>
        <w:spacing w:line="360" w:lineRule="auto"/>
        <w:ind w:left="720" w:hanging="360"/>
        <w:jc w:val="both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ارتفاع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مستوى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سطح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البحر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ذوبان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الجليد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والقشرة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الجليدية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ارتفاع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مستوى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سطح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البحر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الفيضانات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والكوارث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الطبيعية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bidi w:val="1"/>
        <w:spacing w:line="360" w:lineRule="auto"/>
        <w:ind w:left="720" w:hanging="360"/>
        <w:jc w:val="both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تغير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أنماط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الطقس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تغير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أنماط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الطقس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الجفاف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والفيضانات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وأحداث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الطقس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المتطرفة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bidi w:val="1"/>
        <w:spacing w:line="360" w:lineRule="auto"/>
        <w:ind w:left="720" w:hanging="360"/>
        <w:jc w:val="both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تغير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البيئي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تغير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البيئي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يؤثر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النباتات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والحيوانات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bidi w:val="1"/>
        <w:spacing w:line="360" w:lineRule="auto"/>
        <w:ind w:left="720" w:hanging="360"/>
        <w:jc w:val="both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الآثار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الصحية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انتشار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الأمراض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المرتبطة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بالحرارة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ضربات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الشمس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والإجهاد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bidi w:val="1"/>
        <w:spacing w:line="360" w:lineRule="auto"/>
        <w:ind w:left="720" w:hanging="360"/>
        <w:jc w:val="both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bidi w:val="1"/>
        <w:spacing w:line="360" w:lineRule="auto"/>
        <w:ind w:left="720" w:hanging="360"/>
        <w:jc w:val="both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shd w:fill="ffffff" w:val="clear"/>
        <w:bidi w:val="1"/>
        <w:spacing w:after="240"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أهم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أسباب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1 -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أسباب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طبيعي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00"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الأسباب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الطبيعي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تؤدي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لظاهرة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كتصاعد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الحمم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البركاني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الحرائق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الناتجة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الغابات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والملوثات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العضوي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00"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2-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أسباب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صناعي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00" w:line="360" w:lineRule="auto"/>
        <w:jc w:val="both"/>
        <w:rPr>
          <w:rFonts w:ascii="Times New Roman" w:cs="Times New Roman" w:eastAsia="Times New Roman" w:hAnsi="Times New Roman"/>
          <w:sz w:val="32"/>
          <w:szCs w:val="32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للأسباب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الصناعي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فهي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متعلقة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بالنتائج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السلبي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لبعض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النشاطات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كاستعمال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الطاقة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قطع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الأعشاب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والأشجار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إقرأ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ً: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هل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إعادة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التدوير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سلاح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ضد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الاحتباس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الحراري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2"/>
            <w:szCs w:val="32"/>
            <w:u w:val="none"/>
            <w:rtl w:val="1"/>
          </w:rPr>
          <w:t xml:space="preserve">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3 -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الدورة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00"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أكد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الدراسات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العلمي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بأن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الطبيعي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للأرض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تلعب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دورا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مهما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كارتفاع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درجة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المناطق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الثلجية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وذوبان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الثلوج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00"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A">
      <w:pPr>
        <w:shd w:fill="ffffff" w:val="clear"/>
        <w:bidi w:val="1"/>
        <w:spacing w:after="240" w:line="360" w:lineRule="auto"/>
        <w:jc w:val="both"/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ماهي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خطورة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كوارث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مدمرة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نتيجة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ذوبان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الجليد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والثلوج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تداخلات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فصول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السنة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كارتفاع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الشتاء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انقراض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عديدة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الطيور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والحيوانات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انتشار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الأمراض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الخطيرة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كالملاريا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 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1"/>
          </w:rPr>
          <w:t xml:space="preserve">والكوليرا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1"/>
          </w:rPr>
          <w:t xml:space="preserve"> 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الحرارة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المرتفعة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هجرة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الحشرات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وزيادة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الرطوبة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انخفاض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الإنتاج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الزراعي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إصابة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الأراضي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الزراعية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بالجفاف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22">
      <w:pPr>
        <w:shd w:fill="ffffff" w:val="clear"/>
        <w:bidi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shd w:fill="ffffff" w:val="clear"/>
        <w:bidi w:val="1"/>
        <w:spacing w:after="240" w:line="360" w:lineRule="auto"/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خطوات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تساعد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الحد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التقليل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التبريد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المناطق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الدافئة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والتدفئة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المناطق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الباردة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التقليل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الكهرباء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الطاقة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الذري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تصدر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كميات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قليلة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الدفينة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زراعة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الأشجار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للتخفيف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bidi w:val="1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الاعتماد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1"/>
          </w:rPr>
          <w:t xml:space="preserve">طاقة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1"/>
          </w:rPr>
          <w:t xml:space="preserve">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1"/>
          </w:rPr>
          <w:t xml:space="preserve">الرياح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bidi w:val="1"/>
        <w:spacing w:line="360" w:lineRule="auto"/>
        <w:ind w:left="720" w:hanging="360"/>
        <w:jc w:val="both"/>
        <w:rPr>
          <w:rFonts w:ascii="Almarai" w:cs="Almarai" w:eastAsia="Almarai" w:hAnsi="Almara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الطاقة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الهيدروليكي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الناتجة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حركة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المياه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تعمال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للوقود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الأحفوري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النفط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الفحم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والغاز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لمعرفه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المزيد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والتقليل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حدوثه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التزا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  <w:rtl w:val="1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أسباب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غازات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تكو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َّ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تجم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النيتروجين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والميثان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المفلورة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المعروفة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مركبات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كلوروفلوروكربون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CFCs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وتنتج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الغازات</w:t>
        </w:r>
      </w:hyperlink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 </w:t>
        </w:r>
      </w:hyperlink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الدفيئة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طبيعي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الأنشطة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البشري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نسبتها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التسب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بحدوث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وفيما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توضيح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للأسباب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E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الأسباب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البشرية</w:t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الأنشطة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الأنشطة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يأتي</w:t>
      </w:r>
    </w:p>
    <w:p w:rsidR="00000000" w:rsidDel="00000000" w:rsidP="00000000" w:rsidRDefault="00000000" w:rsidRPr="00000000" w14:paraId="00000031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حرق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الأحفوري</w:t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200" w:line="360" w:lineRule="auto"/>
        <w:rPr>
          <w:rFonts w:ascii="Times New Roman" w:cs="Times New Roman" w:eastAsia="Times New Roman" w:hAnsi="Times New Roman"/>
          <w:b w:val="1"/>
          <w:color w:val="70757a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الثورة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الصناعية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بدأت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منتصف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القرن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الثامن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عشر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مستويات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 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ثاني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 </w:t>
        </w:r>
      </w:hyperlink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أكسيد</w:t>
        </w:r>
      </w:hyperlink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 </w:t>
        </w:r>
      </w:hyperlink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الكربون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كبير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280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387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جزءا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مليون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ppm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)؛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الأحفوري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احتراقه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ويزداد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تركيز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بنسبة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تتراوح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2-3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جزء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مليون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المتوق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َّ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تزداد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نسبته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نهاية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القرن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الحادي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والعشرين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أكبر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لتترواح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535-983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جزءا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مليون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وبسبب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تركيز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المتوقع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ترتفع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درجة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حرارة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الأرضية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1.4°-5.6°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درجة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مئوية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بحلول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2100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200" w:line="360" w:lineRule="auto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إزالة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الغابات</w:t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20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تغي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رت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طرق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الاستفادة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الأراضي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كبير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السنوات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الماضية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حاليا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 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إزالة</w:t>
        </w:r>
      </w:hyperlink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 </w:t>
        </w:r>
      </w:hyperlink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الغابات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خصوصا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المناطق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المدارية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والاستفادة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استثمارات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وتساهم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بدوره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 </w:t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200" w:line="360" w:lineRule="auto"/>
        <w:rPr>
          <w:rFonts w:ascii="Times New Roman" w:cs="Times New Roman" w:eastAsia="Times New Roman" w:hAnsi="Times New Roman"/>
          <w:color w:val="70757a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الأنشطة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الزراعية</w:t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تؤدي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الأنشطة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الزراعية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كاستخدام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الأسمدة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وزراعة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حقول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الأرز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وطرق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َّ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بعة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وغيرها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تركيز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الميثان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بالإضافة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الاستخدام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المفرط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للأسمدة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يزيد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النيتروس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 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الغلاف</w:t>
        </w:r>
      </w:hyperlink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 </w:t>
        </w:r>
      </w:hyperlink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highlight w:val="white"/>
            <w:u w:val="none"/>
            <w:rtl w:val="1"/>
          </w:rPr>
          <w:t xml:space="preserve">الجوي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إزالة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الغطاء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النباتي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وضاءة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بالإنجليزية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Albedo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التغي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كمية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الأشعة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الممتصة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سطح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الأرض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وكمية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الأشعة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المنعكسة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تربية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الحيوانات</w:t>
      </w:r>
    </w:p>
    <w:p w:rsidR="00000000" w:rsidDel="00000000" w:rsidP="00000000" w:rsidRDefault="00000000" w:rsidRPr="00000000" w14:paraId="0000003D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1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تلعب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تربية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الحيوانات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دورا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مهما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فهي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مسؤولة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18%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وفقا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لتقرير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الأمم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المتحدة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تحتاج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تربية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الحيوانات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إزالة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الغابات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أجل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الأراضي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كمراع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للماشية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حصل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غابات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الأمازون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حوالي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70%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إزالة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الغابات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سببها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تربية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المواشي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الميثان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ينتج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طبيعي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الماشية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بدورها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فاقم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مشكلة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3E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70757a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تصنيع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الإسمنت</w:t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b w:val="1"/>
          <w:color w:val="70757a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تصنيع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الإسمنت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مرحلة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تسخين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كربونات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الكالسيوم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ينتج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والجير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حرق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الأحفوري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ستخد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لتوفير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الحرارة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اللازمة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لإتمام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التصنيع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نسبته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شك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مساهمة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تصنيع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الإسمنت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حوالي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5%،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باقي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تبقى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فينتج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حرق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الأحفوري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والعمليات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الكيميائية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المصاحبة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التصنيع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ينتج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حوالي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900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كغ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إنتاج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1,000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كغ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الإسمنت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200" w:line="360" w:lineRule="auto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النفايات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الصناعية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ومكب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النفايات</w:t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20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نتج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المصانع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والعمليات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الصناعية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عموما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العديد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الضارة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إطلاقها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تزيد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مكب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ومدافن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النفايات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الميثان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اللذ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يساهمان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كبير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تأثير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200" w:line="360" w:lineRule="auto"/>
        <w:rPr>
          <w:rFonts w:ascii="Times New Roman" w:cs="Times New Roman" w:eastAsia="Times New Roman" w:hAnsi="Times New Roman"/>
          <w:b w:val="1"/>
          <w:color w:val="70757a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تصنيع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الإسمنت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تصنيع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الإسمنت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مرحلة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تسخين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كربونات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الكالسيوم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ينتج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والجير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حرق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الأحفوري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ستخد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لتوفير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الحرارة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اللازمة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لإتمام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التصنيع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نسبته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شك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مساهمة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تصنيع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الإسمنت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حوالي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5%،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باقي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تبقى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فينتج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حرق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الأحفوري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والعمليات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الكيميائية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المصاحبة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لعملية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التصنيع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ينتج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حوالي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900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كغ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إنتاج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1,000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كغ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الإسمنت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b w:val="1"/>
          <w:color w:val="70757a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الزيادة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1"/>
        </w:rPr>
        <w:t xml:space="preserve">السكان</w:t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يزداد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سكان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فيزيد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الطلب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الطعام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والمأوى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واللباس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والعديد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المنتجات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الصناعية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بدوره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يزيد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المصانع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والعمليات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الصناعية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المرافقة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ارتفاع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الضارة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وبالتالي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يزداد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تأثير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تؤدي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السكان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الوقود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الأحفوري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كبير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تفاقم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ظاهرة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الاحتباس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الحراري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200" w:line="360" w:lineRule="auto"/>
        <w:jc w:val="both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الأسباب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1"/>
        </w:rPr>
        <w:t xml:space="preserve">الطبيعية</w:t>
      </w:r>
    </w:p>
    <w:p w:rsidR="00000000" w:rsidDel="00000000" w:rsidP="00000000" w:rsidRDefault="00000000" w:rsidRPr="00000000" w14:paraId="0000004C">
      <w:pPr>
        <w:shd w:fill="ffffff" w:val="clear"/>
        <w:bidi w:val="1"/>
        <w:spacing w:after="60" w:before="62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العوامل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الطبيعية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الجوي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الناتجة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الطبيعية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متوازنة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نسبيا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آلاف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السنين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تغي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الزمن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تغيرت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وفيما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لبعض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العوامل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:</w:t>
      </w:r>
      <w:hyperlink r:id="rId42">
        <w:r w:rsidDel="00000000" w:rsidR="00000000" w:rsidRPr="00000000">
          <w:rPr>
            <w:rtl w:val="0"/>
          </w:rPr>
        </w:r>
      </w:hyperlink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u w:val="none"/>
            <w:vertAlign w:val="superscript"/>
            <w:rtl w:val="0"/>
          </w:rPr>
          <w:t xml:space="preserve">[٧]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bidi w:val="1"/>
        <w:ind w:left="0" w:hanging="36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النمل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الأبيض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الهضم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الميثان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bidi w:val="1"/>
        <w:ind w:left="0" w:hanging="36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الحيوانات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المجترة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البرية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والحيوانات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العاشبة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الصغيرة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الميثان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bidi w:val="1"/>
        <w:ind w:left="0" w:hanging="36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حرائق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الغابات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العديد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الضارة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والميثان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النيتروس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 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u w:val="none"/>
            <w:rtl w:val="1"/>
          </w:rPr>
          <w:t xml:space="preserve">وأكاسيد</w:t>
        </w:r>
      </w:hyperlink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u w:val="none"/>
            <w:rtl w:val="1"/>
          </w:rPr>
          <w:t xml:space="preserve"> </w:t>
        </w:r>
      </w:hyperlink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u w:val="none"/>
            <w:rtl w:val="1"/>
          </w:rPr>
          <w:t xml:space="preserve">النيتروجين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bidi w:val="1"/>
        <w:ind w:left="0" w:hanging="36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الأنظمة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البيئية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للأراضي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الرطبة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غاز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الميثان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bidi w:val="1"/>
        <w:ind w:left="0" w:hanging="36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الأنظمة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البيئية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للأراضي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كالمراعي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والغابات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والسافانا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زيادة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النيتروس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bidi w:val="1"/>
        <w:ind w:left="0" w:hanging="36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تساهم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المياه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العذبة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كالبحيرات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والجداول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والأنهار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والأراضي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الرطبة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انبعاث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الغازات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الدفيئة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 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u w:val="none"/>
            <w:rtl w:val="1"/>
          </w:rPr>
          <w:t xml:space="preserve">كغاز</w:t>
        </w:r>
      </w:hyperlink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u w:val="none"/>
            <w:rtl w:val="1"/>
          </w:rPr>
          <w:t xml:space="preserve"> </w:t>
        </w:r>
      </w:hyperlink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u w:val="none"/>
            <w:rtl w:val="1"/>
          </w:rPr>
          <w:t xml:space="preserve">الميثان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النيتروز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وثاني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أكسيد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الكربون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.</w:t>
      </w:r>
      <w:hyperlink r:id="rId50">
        <w:r w:rsidDel="00000000" w:rsidR="00000000" w:rsidRPr="00000000">
          <w:rPr>
            <w:rtl w:val="0"/>
          </w:rPr>
        </w:r>
      </w:hyperlink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85c91"/>
            <w:sz w:val="28"/>
            <w:szCs w:val="28"/>
            <w:u w:val="none"/>
            <w:vertAlign w:val="superscript"/>
            <w:rtl w:val="0"/>
          </w:rPr>
          <w:t xml:space="preserve">[٨]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bidi w:val="1"/>
        <w:ind w:left="0" w:hanging="36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النشاطات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البركانية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bidi w:val="1"/>
        <w:ind w:left="0" w:hanging="36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التحلل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الطبيعي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للحيوانات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والنباتات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bidi w:val="1"/>
        <w:ind w:left="0" w:hanging="360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انصهار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قمم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المناطق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الجليدية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b w:val="1"/>
          <w:color w:val="70757a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yellow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sectPr>
      <w:pgSz w:h="1872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lmara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ο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ο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ο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ο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ο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ο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ο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ο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wdoo3.com/%D9%85%D8%A7_%D9%87%D9%88_%D8%A7%D9%84%D8%BA%D9%84%D8%A7%D9%81_%D8%A7%D9%84%D8%AC%D9%88%D9%8A" TargetMode="External"/><Relationship Id="rId42" Type="http://schemas.openxmlformats.org/officeDocument/2006/relationships/hyperlink" Target="https://mawdoo3.com/%D8%A3%D8%B3%D8%A8%D8%A7%D8%A8_%D8%A7%D9%84%D8%A7%D8%AD%D8%AA%D8%A8%D8%A7%D8%B3_%D8%A7%D9%84%D8%AD%D8%B1%D8%A7%D8%B1%D9%8A#cite_note-3toGnwsrM8-7" TargetMode="External"/><Relationship Id="rId41" Type="http://schemas.openxmlformats.org/officeDocument/2006/relationships/hyperlink" Target="https://mawdoo3.com/%D9%85%D8%A7_%D9%87%D9%88_%D8%A7%D9%84%D8%BA%D9%84%D8%A7%D9%81_%D8%A7%D9%84%D8%AC%D9%88%D9%8A" TargetMode="External"/><Relationship Id="rId44" Type="http://schemas.openxmlformats.org/officeDocument/2006/relationships/hyperlink" Target="https://mawdoo3.com/%D9%85%D8%A7_%D9%87%D9%8A_%D8%A3%D8%B6%D8%B1%D8%A7%D8%B1_%D8%A3%D9%83%D8%A7%D8%B3%D9%8A%D8%AF_%D8%A7%D9%84%D9%86%D9%8A%D8%AA%D8%B1%D9%88%D8%AC%D9%8A%D9%86" TargetMode="External"/><Relationship Id="rId43" Type="http://schemas.openxmlformats.org/officeDocument/2006/relationships/hyperlink" Target="https://mawdoo3.com/%D8%A3%D8%B3%D8%A8%D8%A7%D8%A8_%D8%A7%D9%84%D8%A7%D8%AD%D8%AA%D8%A8%D8%A7%D8%B3_%D8%A7%D9%84%D8%AD%D8%B1%D8%A7%D8%B1%D9%8A#cite_note-3toGnwsrM8-7" TargetMode="External"/><Relationship Id="rId46" Type="http://schemas.openxmlformats.org/officeDocument/2006/relationships/hyperlink" Target="https://mawdoo3.com/%D9%85%D8%A7_%D9%87%D9%8A_%D8%A3%D8%B6%D8%B1%D8%A7%D8%B1_%D8%A3%D9%83%D8%A7%D8%B3%D9%8A%D8%AF_%D8%A7%D9%84%D9%86%D9%8A%D8%AA%D8%B1%D9%88%D8%AC%D9%8A%D9%86" TargetMode="External"/><Relationship Id="rId45" Type="http://schemas.openxmlformats.org/officeDocument/2006/relationships/hyperlink" Target="https://mawdoo3.com/%D9%85%D8%A7_%D9%87%D9%8A_%D8%A3%D8%B6%D8%B1%D8%A7%D8%B1_%D8%A3%D9%83%D8%A7%D8%B3%D9%8A%D8%AF_%D8%A7%D9%84%D9%86%D9%8A%D8%AA%D8%B1%D9%88%D8%AC%D9%8A%D9%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48" Type="http://schemas.openxmlformats.org/officeDocument/2006/relationships/hyperlink" Target="https://mawdoo3.com/%D9%85%D8%A7_%D9%87%D9%88_%D8%BA%D8%A7%D8%B2_%D8%A7%D9%84%D9%85%D9%8A%D8%AB%D8%A7%D9%86" TargetMode="External"/><Relationship Id="rId47" Type="http://schemas.openxmlformats.org/officeDocument/2006/relationships/hyperlink" Target="https://mawdoo3.com/%D9%85%D8%A7_%D9%87%D9%88_%D8%BA%D8%A7%D8%B2_%D8%A7%D9%84%D9%85%D9%8A%D8%AB%D8%A7%D9%86" TargetMode="External"/><Relationship Id="rId49" Type="http://schemas.openxmlformats.org/officeDocument/2006/relationships/hyperlink" Target="https://mawdoo3.com/%D9%85%D8%A7_%D9%87%D9%88_%D8%BA%D8%A7%D8%B2_%D8%A7%D9%84%D9%85%D9%8A%D8%AB%D8%A7%D9%8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najah.net/%D8%AA%D8%B9%D8%B1%D9%8A%D9%81-%D8%B8%D8%A7%D9%87%D8%B1%D8%A9-%D8%A7%D9%84%D8%A7%D8%AD%D8%AA%D8%A8%D8%A7%D8%B3-%D8%A7%D9%84%D8%AD%D8%B1%D8%A7%D8%B1%D9%8A-article-10307" TargetMode="External"/><Relationship Id="rId7" Type="http://schemas.openxmlformats.org/officeDocument/2006/relationships/hyperlink" Target="https://www.annajah.net/%D8%AA%D8%B9%D8%B1%D9%8A%D9%81-%D8%B8%D8%A7%D9%87%D8%B1%D8%A9-%D8%A7%D9%84%D8%A7%D8%AD%D8%AA%D8%A8%D8%A7%D8%B3-%D8%A7%D9%84%D8%AD%D8%B1%D8%A7%D8%B1%D9%8A-article-10307" TargetMode="External"/><Relationship Id="rId8" Type="http://schemas.openxmlformats.org/officeDocument/2006/relationships/hyperlink" Target="https://www.annajah.net/%D8%AA%D8%B9%D8%B1%D9%8A%D9%81-%D8%B8%D8%A7%D9%87%D8%B1%D8%A9-%D8%A7%D9%84%D8%A7%D8%AD%D8%AA%D8%A8%D8%A7%D8%B3-%D8%A7%D9%84%D8%AD%D8%B1%D8%A7%D8%B1%D9%8A-article-10307" TargetMode="External"/><Relationship Id="rId31" Type="http://schemas.openxmlformats.org/officeDocument/2006/relationships/hyperlink" Target="https://mawdoo3.com/%D8%BA%D8%A7%D8%B2_%D8%AB%D8%A7%D9%86%D9%8A_%D8%A3%D9%83%D8%B3%D9%8A%D8%AF_%D8%A7%D9%84%D9%83%D8%B1%D8%A8%D9%88%D9%86" TargetMode="External"/><Relationship Id="rId30" Type="http://schemas.openxmlformats.org/officeDocument/2006/relationships/hyperlink" Target="https://mawdoo3.com/%D9%85%D8%A7_%D9%87%D9%8A_%D8%A7%D9%84%D8%BA%D8%A7%D8%B2%D8%A7%D8%AA_%D8%A7%D9%84%D8%AF%D9%81%D9%8A%D8%A6%D8%A9" TargetMode="External"/><Relationship Id="rId33" Type="http://schemas.openxmlformats.org/officeDocument/2006/relationships/hyperlink" Target="https://mawdoo3.com/%D8%BA%D8%A7%D8%B2_%D8%AB%D8%A7%D9%86%D9%8A_%D8%A3%D9%83%D8%B3%D9%8A%D8%AF_%D8%A7%D9%84%D9%83%D8%B1%D8%A8%D9%88%D9%86" TargetMode="External"/><Relationship Id="rId32" Type="http://schemas.openxmlformats.org/officeDocument/2006/relationships/hyperlink" Target="https://mawdoo3.com/%D8%BA%D8%A7%D8%B2_%D8%AB%D8%A7%D9%86%D9%8A_%D8%A3%D9%83%D8%B3%D9%8A%D8%AF_%D8%A7%D9%84%D9%83%D8%B1%D8%A8%D9%88%D9%86" TargetMode="External"/><Relationship Id="rId35" Type="http://schemas.openxmlformats.org/officeDocument/2006/relationships/hyperlink" Target="https://mawdoo3.com/%D8%BA%D8%A7%D8%B2_%D8%AB%D8%A7%D9%86%D9%8A_%D8%A3%D9%83%D8%B3%D9%8A%D8%AF_%D8%A7%D9%84%D9%83%D8%B1%D8%A8%D9%88%D9%86" TargetMode="External"/><Relationship Id="rId34" Type="http://schemas.openxmlformats.org/officeDocument/2006/relationships/hyperlink" Target="https://mawdoo3.com/%D8%BA%D8%A7%D8%B2_%D8%AB%D8%A7%D9%86%D9%8A_%D8%A3%D9%83%D8%B3%D9%8A%D8%AF_%D8%A7%D9%84%D9%83%D8%B1%D8%A8%D9%88%D9%86" TargetMode="External"/><Relationship Id="rId37" Type="http://schemas.openxmlformats.org/officeDocument/2006/relationships/hyperlink" Target="https://mawdoo3.com/%D8%A2%D8%AB%D8%A7%D8%B1_%D8%A5%D8%B2%D8%A7%D9%84%D8%A9_%D8%A7%D9%84%D8%BA%D8%A7%D8%A8%D8%A7%D8%AA" TargetMode="External"/><Relationship Id="rId36" Type="http://schemas.openxmlformats.org/officeDocument/2006/relationships/hyperlink" Target="https://mawdoo3.com/%D8%A2%D8%AB%D8%A7%D8%B1_%D8%A5%D8%B2%D8%A7%D9%84%D8%A9_%D8%A7%D9%84%D8%BA%D8%A7%D8%A8%D8%A7%D8%AA" TargetMode="External"/><Relationship Id="rId39" Type="http://schemas.openxmlformats.org/officeDocument/2006/relationships/hyperlink" Target="https://mawdoo3.com/%D9%85%D8%A7_%D9%87%D9%88_%D8%A7%D9%84%D8%BA%D9%84%D8%A7%D9%81_%D8%A7%D9%84%D8%AC%D9%88%D9%8A" TargetMode="External"/><Relationship Id="rId38" Type="http://schemas.openxmlformats.org/officeDocument/2006/relationships/hyperlink" Target="https://mawdoo3.com/%D8%A2%D8%AB%D8%A7%D8%B1_%D8%A5%D8%B2%D8%A7%D9%84%D8%A9_%D8%A7%D9%84%D8%BA%D8%A7%D8%A8%D8%A7%D8%AA" TargetMode="External"/><Relationship Id="rId20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22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21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24" Type="http://schemas.openxmlformats.org/officeDocument/2006/relationships/hyperlink" Target="https://www.annajah.net/%D8%A7%D9%84%D9%83%D9%88%D9%84%D9%8A%D8%B1%D8%A7-%D8%A3%D8%B3%D8%A8%D8%A7%D8%A8%D9%87%D8%A7-%D8%A3%D8%B9%D8%B1%D8%A7%D8%B6%D9%87%D8%A7-%D8%B7%D8%B1%D9%82-%D8%A7%D9%84%D9%88%D9%82%D8%A7%D9%8A%D8%A9-article-25992" TargetMode="External"/><Relationship Id="rId23" Type="http://schemas.openxmlformats.org/officeDocument/2006/relationships/hyperlink" Target="https://www.annajah.net/%D8%A7%D9%84%D9%83%D9%88%D9%84%D9%8A%D8%B1%D8%A7-%D8%A3%D8%B3%D8%A8%D8%A7%D8%A8%D9%87%D8%A7-%D8%A3%D8%B9%D8%B1%D8%A7%D8%B6%D9%87%D8%A7-%D8%B7%D8%B1%D9%82-%D8%A7%D9%84%D9%88%D9%82%D8%A7%D9%8A%D8%A9-article-25992" TargetMode="External"/><Relationship Id="rId26" Type="http://schemas.openxmlformats.org/officeDocument/2006/relationships/hyperlink" Target="https://www.annajah.net/%D8%A7%D9%84%D8%B1%D9%8A%D8%A7%D8%AD-%D9%85%D8%B5%D8%AF%D8%B1-%D9%85%D8%AA%D8%AC%D8%AF%D8%AF-%D9%84%D9%84%D8%B7%D8%A7%D9%82%D8%A9-article-10063" TargetMode="External"/><Relationship Id="rId25" Type="http://schemas.openxmlformats.org/officeDocument/2006/relationships/hyperlink" Target="https://www.annajah.net/%D8%A7%D9%84%D8%B1%D9%8A%D8%A7%D8%AD-%D9%85%D8%B5%D8%AF%D8%B1-%D9%85%D8%AA%D8%AC%D8%AF%D8%AF-%D9%84%D9%84%D8%B7%D8%A7%D9%82%D8%A9-article-10063" TargetMode="External"/><Relationship Id="rId28" Type="http://schemas.openxmlformats.org/officeDocument/2006/relationships/hyperlink" Target="https://mawdoo3.com/%D9%85%D8%A7_%D9%87%D9%8A_%D8%A7%D9%84%D8%BA%D8%A7%D8%B2%D8%A7%D8%AA_%D8%A7%D9%84%D8%AF%D9%81%D9%8A%D8%A6%D8%A9" TargetMode="External"/><Relationship Id="rId27" Type="http://schemas.openxmlformats.org/officeDocument/2006/relationships/hyperlink" Target="https://www.annajah.net/%D8%A7%D9%84%D8%B1%D9%8A%D8%A7%D8%AD-%D9%85%D8%B5%D8%AF%D8%B1-%D9%85%D8%AA%D8%AC%D8%AF%D8%AF-%D9%84%D9%84%D8%B7%D8%A7%D9%82%D8%A9-article-10063" TargetMode="External"/><Relationship Id="rId29" Type="http://schemas.openxmlformats.org/officeDocument/2006/relationships/hyperlink" Target="https://mawdoo3.com/%D9%85%D8%A7_%D9%87%D9%8A_%D8%A7%D9%84%D8%BA%D8%A7%D8%B2%D8%A7%D8%AA_%D8%A7%D9%84%D8%AF%D9%81%D9%8A%D8%A6%D8%A9" TargetMode="External"/><Relationship Id="rId51" Type="http://schemas.openxmlformats.org/officeDocument/2006/relationships/hyperlink" Target="https://mawdoo3.com/%D8%A3%D8%B3%D8%A8%D8%A7%D8%A8_%D8%A7%D9%84%D8%A7%D8%AD%D8%AA%D8%A8%D8%A7%D8%B3_%D8%A7%D9%84%D8%AD%D8%B1%D8%A7%D8%B1%D9%8A#cite_note-GFEDHsxDsu-8" TargetMode="External"/><Relationship Id="rId50" Type="http://schemas.openxmlformats.org/officeDocument/2006/relationships/hyperlink" Target="https://mawdoo3.com/%D8%A3%D8%B3%D8%A8%D8%A7%D8%A8_%D8%A7%D9%84%D8%A7%D8%AD%D8%AA%D8%A8%D8%A7%D8%B3_%D8%A7%D9%84%D8%AD%D8%B1%D8%A7%D8%B1%D9%8A#cite_note-GFEDHsxDsu-8" TargetMode="External"/><Relationship Id="rId11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10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13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12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15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14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17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16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19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Relationship Id="rId18" Type="http://schemas.openxmlformats.org/officeDocument/2006/relationships/hyperlink" Target="https://www.annajah.net/%D9%87%D9%84-%D8%A5%D8%B9%D8%A7%D8%AF%D8%A9-%D8%A7%D9%84%D8%AA%D8%AF%D9%88%D9%8A%D8%B1-%D8%B3%D9%84%D8%A7%D8%AD-%D8%B6%D8%AF-%D8%A7%D9%84%D8%A7%D8%AD%D8%AA%D8%A8%D8%A7%D8%B3-%D8%A7%D9%84%D8%AD%D8%B1%D8%A7%D8%B1%D9%8A-article-36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