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奥沙利铂副作用及应对措施手册"/>
    <w:p>
      <w:pPr>
        <w:pStyle w:val="1"/>
      </w:pPr>
      <w:r>
        <w:t xml:space="preserve">奥沙利铂副作用及应对措施手册</w:t>
      </w:r>
    </w:p>
    <w:bookmarkStart w:id="20" w:name="肿瘤就医陪伴助手bot知识库资料"/>
    <w:p>
      <w:pPr>
        <w:pStyle w:val="2"/>
      </w:pPr>
      <w:r>
        <w:t xml:space="preserve">肿瘤就医陪伴助手Bot知识库资料</w:t>
      </w:r>
    </w:p>
    <w:p>
      <w:r>
        <w:pict>
          <v:rect style="width:0;height:1.5pt" o:hralign="center" o:hrstd="t" o:hr="t"/>
        </w:pict>
      </w:r>
    </w:p>
    <w:bookmarkEnd w:id="20"/>
    <w:bookmarkStart w:id="21" w:name="一药物基本信息"/>
    <w:p>
      <w:pPr>
        <w:pStyle w:val="2"/>
      </w:pPr>
      <w:r>
        <w:t xml:space="preserve">一、药物基本信息</w:t>
      </w:r>
    </w:p>
    <w:p>
      <w:pPr>
        <w:pStyle w:val="FirstParagraph"/>
      </w:pPr>
      <w:r>
        <w:rPr>
          <w:b/>
          <w:bCs/>
        </w:rPr>
        <w:t xml:space="preserve">奥沙利铂（Oxaliplatin，又名草酸铂）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分类</w:t>
      </w:r>
      <w:r>
        <w:t xml:space="preserve">：第三代铂类化疗药物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特性</w:t>
      </w:r>
      <w:r>
        <w:t xml:space="preserve">：稳定的、水溶性铂类药物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应用范围</w:t>
      </w:r>
      <w:r>
        <w:t xml:space="preserve">：</w:t>
      </w:r>
      <w:r>
        <w:t xml:space="preserve"> </w:t>
      </w:r>
      <w:r>
        <w:t xml:space="preserve">- 结直肠癌（辅助化疗与姑息化疗）</w:t>
      </w:r>
      <w:r>
        <w:t xml:space="preserve"> </w:t>
      </w:r>
      <w:r>
        <w:t xml:space="preserve">- 非小细胞肺癌</w:t>
      </w:r>
      <w:r>
        <w:t xml:space="preserve"> </w:t>
      </w:r>
      <w:r>
        <w:t xml:space="preserve">- 胃癌</w:t>
      </w:r>
      <w:r>
        <w:t xml:space="preserve"> </w:t>
      </w:r>
      <w:r>
        <w:t xml:space="preserve">- 卵巢癌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地位</w:t>
      </w:r>
      <w:r>
        <w:t xml:space="preserve">：第一个对结肠癌有效及在体内、外均有广谱抗肿瘤活性的铂类药物</w:t>
      </w:r>
    </w:p>
    <w:p>
      <w:r>
        <w:pict>
          <v:rect style="width:0;height:1.5pt" o:hralign="center" o:hrstd="t" o:hr="t"/>
        </w:pict>
      </w:r>
    </w:p>
    <w:bookmarkEnd w:id="21"/>
    <w:bookmarkStart w:id="27" w:name="二副作用类型及临床表现"/>
    <w:p>
      <w:pPr>
        <w:pStyle w:val="2"/>
      </w:pPr>
      <w:r>
        <w:t xml:space="preserve">二、副作用类型及临床表现</w:t>
      </w:r>
    </w:p>
    <w:bookmarkStart w:id="22" w:name="造血系统毒性血液毒性"/>
    <w:p>
      <w:pPr>
        <w:pStyle w:val="3"/>
      </w:pPr>
      <w:r>
        <w:t xml:space="preserve">1. 造血系统毒性（血液毒性）</w:t>
      </w:r>
    </w:p>
    <w:p>
      <w:pPr>
        <w:pStyle w:val="FirstParagraph"/>
      </w:pPr>
      <w:r>
        <w:rPr>
          <w:b/>
          <w:bCs/>
        </w:rPr>
        <w:t xml:space="preserve">单独用药时可能引起：</w:t>
      </w:r>
      <w:r>
        <w:t xml:space="preserve"> </w:t>
      </w:r>
      <w:r>
        <w:t xml:space="preserve">- 贫血</w:t>
      </w:r>
      <w:r>
        <w:t xml:space="preserve"> </w:t>
      </w:r>
      <w:r>
        <w:t xml:space="preserve">- 白细胞减少</w:t>
      </w:r>
      <w:r>
        <w:t xml:space="preserve"> </w:t>
      </w:r>
      <w:r>
        <w:t xml:space="preserve">- 粒细胞减少</w:t>
      </w:r>
      <w:r>
        <w:t xml:space="preserve"> </w:t>
      </w:r>
      <w:r>
        <w:t xml:space="preserve">- 血小板减少（有时可达3级或4级）</w:t>
      </w:r>
    </w:p>
    <w:p>
      <w:pPr>
        <w:pStyle w:val="a0"/>
      </w:pPr>
      <w:r>
        <w:rPr>
          <w:b/>
          <w:bCs/>
        </w:rPr>
        <w:t xml:space="preserve">联合用药风险：</w:t>
      </w:r>
      <w:r>
        <w:t xml:space="preserve"> </w:t>
      </w:r>
      <w:r>
        <w:t xml:space="preserve">与5-氟脲嘧啶联合应用时，中性粒细胞减少症及血小板减少症等血液学毒性显著增加。</w:t>
      </w:r>
    </w:p>
    <w:p>
      <w:r>
        <w:pict>
          <v:rect style="width:0;height:1.5pt" o:hralign="center" o:hrstd="t" o:hr="t"/>
        </w:pict>
      </w:r>
    </w:p>
    <w:bookmarkEnd w:id="22"/>
    <w:bookmarkStart w:id="23" w:name="胃肠道反应"/>
    <w:p>
      <w:pPr>
        <w:pStyle w:val="3"/>
      </w:pPr>
      <w:r>
        <w:t xml:space="preserve">2. 胃肠道反应</w:t>
      </w:r>
    </w:p>
    <w:p>
      <w:pPr>
        <w:pStyle w:val="FirstParagraph"/>
      </w:pPr>
      <w:r>
        <w:rPr>
          <w:b/>
          <w:bCs/>
        </w:rPr>
        <w:t xml:space="preserve">单独用药发生率：</w:t>
      </w:r>
      <w:r>
        <w:t xml:space="preserve"> </w:t>
      </w:r>
      <w:r>
        <w:t xml:space="preserve">- 严重恶心和呕吐：约10%</w:t>
      </w:r>
      <w:r>
        <w:t xml:space="preserve"> </w:t>
      </w:r>
      <w:r>
        <w:t xml:space="preserve">- 严重腹泻：约4%</w:t>
      </w:r>
    </w:p>
    <w:p>
      <w:pPr>
        <w:pStyle w:val="a0"/>
      </w:pPr>
      <w:r>
        <w:rPr>
          <w:b/>
          <w:bCs/>
        </w:rPr>
        <w:t xml:space="preserve">联合用药：</w:t>
      </w:r>
      <w:r>
        <w:t xml:space="preserve"> </w:t>
      </w:r>
      <w:r>
        <w:t xml:space="preserve">与5-氟脲嘧啶联合应用时，这些副作用显著增加。</w:t>
      </w:r>
    </w:p>
    <w:p>
      <w:r>
        <w:pict>
          <v:rect style="width:0;height:1.5pt" o:hralign="center" o:hrstd="t" o:hr="t"/>
        </w:pict>
      </w:r>
    </w:p>
    <w:bookmarkEnd w:id="23"/>
    <w:bookmarkStart w:id="26" w:name="神经毒性反应最常见发生率8595"/>
    <w:p>
      <w:pPr>
        <w:pStyle w:val="3"/>
      </w:pPr>
      <w:r>
        <w:t xml:space="preserve">3. 神经毒性反应（最常见，发生率85%～95%）</w:t>
      </w:r>
    </w:p>
    <w:p>
      <w:pPr>
        <w:pStyle w:val="FirstParagraph"/>
      </w:pPr>
      <w:r>
        <w:rPr>
          <w:b/>
          <w:bCs/>
        </w:rPr>
        <w:t xml:space="preserve">特征：</w:t>
      </w:r>
      <w:r>
        <w:t xml:space="preserve"> </w:t>
      </w:r>
      <w:r>
        <w:t xml:space="preserve">以末梢神经炎为特征的周围性感觉神经病变，遇冷会激发和加重。</w:t>
      </w:r>
    </w:p>
    <w:bookmarkStart w:id="24" w:name="急性神经感觉病变"/>
    <w:p>
      <w:pPr>
        <w:pStyle w:val="4"/>
      </w:pPr>
      <w:r>
        <w:t xml:space="preserve">急性神经感觉病变</w:t>
      </w:r>
    </w:p>
    <w:p>
      <w:pPr>
        <w:pStyle w:val="FirstParagraph"/>
      </w:pPr>
      <w:r>
        <w:rPr>
          <w:b/>
          <w:bCs/>
        </w:rPr>
        <w:t xml:space="preserve">主要表现：</w:t>
      </w:r>
      <w:r>
        <w:t xml:space="preserve"> </w:t>
      </w:r>
      <w:r>
        <w:t xml:space="preserve">- 肢端感觉异常/麻木</w:t>
      </w:r>
      <w:r>
        <w:t xml:space="preserve"> </w:t>
      </w:r>
      <w:r>
        <w:t xml:space="preserve">- 口周感觉异常/麻木</w:t>
      </w:r>
      <w:r>
        <w:t xml:space="preserve"> </w:t>
      </w:r>
      <w:r>
        <w:t xml:space="preserve">- 咽喉感觉异常/麻木</w:t>
      </w:r>
      <w:r>
        <w:t xml:space="preserve"> </w:t>
      </w:r>
      <w:r>
        <w:t xml:space="preserve">- 偶见肌肉紧张、收缩、痉挛</w:t>
      </w:r>
    </w:p>
    <w:p>
      <w:pPr>
        <w:pStyle w:val="a0"/>
      </w:pPr>
      <w:r>
        <w:rPr>
          <w:b/>
          <w:bCs/>
        </w:rPr>
        <w:t xml:space="preserve">分级标准（Levi专用感觉神经毒性分级）：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级别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临床表现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持续时间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无感觉异常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感觉异常或感觉迟钝（遇冷引起）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1周内完全消退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感觉异常或感觉迟钝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21天内完全消退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感觉异常或感觉迟钝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21天内不能完全消退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感觉异常或感觉迟钝，伴有功能障碍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bookmarkEnd w:id="24"/>
    <w:bookmarkStart w:id="25" w:name="慢性神经毒性"/>
    <w:p>
      <w:pPr>
        <w:pStyle w:val="4"/>
      </w:pPr>
      <w:r>
        <w:t xml:space="preserve">慢性神经毒性</w:t>
      </w:r>
    </w:p>
    <w:p>
      <w:pPr>
        <w:pStyle w:val="FirstParagraph"/>
      </w:pPr>
      <w:r>
        <w:rPr>
          <w:b/>
          <w:bCs/>
        </w:rPr>
        <w:t xml:space="preserve">主要表现：</w:t>
      </w:r>
      <w:r>
        <w:t xml:space="preserve"> </w:t>
      </w:r>
      <w:r>
        <w:t xml:space="preserve">精细动作协调困难，包括：</w:t>
      </w:r>
      <w:r>
        <w:t xml:space="preserve"> </w:t>
      </w:r>
      <w:r>
        <w:t xml:space="preserve">- 书写困难</w:t>
      </w:r>
      <w:r>
        <w:t xml:space="preserve"> </w:t>
      </w:r>
      <w:r>
        <w:t xml:space="preserve">- 系纽扣困难</w:t>
      </w:r>
      <w:r>
        <w:t xml:space="preserve"> </w:t>
      </w:r>
      <w:r>
        <w:t xml:space="preserve">- 握持物品困难</w:t>
      </w:r>
    </w:p>
    <w:p>
      <w:pPr>
        <w:pStyle w:val="a0"/>
      </w:pPr>
      <w:r>
        <w:rPr>
          <w:b/>
          <w:bCs/>
        </w:rPr>
        <w:t xml:space="preserve">预后：</w:t>
      </w:r>
      <w:r>
        <w:t xml:space="preserve"> </w:t>
      </w:r>
      <w:r>
        <w:t xml:space="preserve">症状少数可持续至20-25周，目前认为是</w:t>
      </w:r>
      <w:r>
        <w:rPr>
          <w:b/>
          <w:bCs/>
        </w:rPr>
        <w:t xml:space="preserve">高度可逆</w:t>
      </w:r>
      <w:r>
        <w:t xml:space="preserve">的。</w:t>
      </w:r>
    </w:p>
    <w:p>
      <w:r>
        <w:pict>
          <v:rect style="width:0;height:1.5pt" o:hralign="center" o:hrstd="t" o:hr="t"/>
        </w:pict>
      </w:r>
    </w:p>
    <w:bookmarkEnd w:id="25"/>
    <w:bookmarkEnd w:id="26"/>
    <w:bookmarkEnd w:id="27"/>
    <w:bookmarkStart w:id="31" w:name="三医疗处理方案"/>
    <w:p>
      <w:pPr>
        <w:pStyle w:val="2"/>
      </w:pPr>
      <w:r>
        <w:t xml:space="preserve">三、医疗处理方案</w:t>
      </w:r>
    </w:p>
    <w:bookmarkStart w:id="28" w:name="造血系统毒性处理"/>
    <w:p>
      <w:pPr>
        <w:pStyle w:val="3"/>
      </w:pPr>
      <w:r>
        <w:t xml:space="preserve">1. 造血系统毒性处理</w:t>
      </w:r>
    </w:p>
    <w:p>
      <w:pPr>
        <w:pStyle w:val="FirstParagraph"/>
      </w:pPr>
      <w:r>
        <w:rPr>
          <w:b/>
          <w:bCs/>
        </w:rPr>
        <w:t xml:space="preserve">治疗药物：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预防阶段</w:t>
      </w:r>
      <w:r>
        <w:t xml:space="preserve">：粒细胞集落刺激因子（G-CSF）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治疗阶段</w:t>
      </w:r>
      <w:r>
        <w:t xml:space="preserve">：粒细胞巨噬细胞集落刺激因子（GM-CSF）</w:t>
      </w:r>
    </w:p>
    <w:p>
      <w:pPr>
        <w:pStyle w:val="a0"/>
      </w:pPr>
      <w:r>
        <w:rPr>
          <w:b/>
          <w:bCs/>
        </w:rPr>
        <w:t xml:space="preserve">作用：</w:t>
      </w:r>
      <w:r>
        <w:t xml:space="preserve"> </w:t>
      </w:r>
      <w:r>
        <w:t xml:space="preserve">纠正白细胞减少</w:t>
      </w:r>
    </w:p>
    <w:p>
      <w:r>
        <w:pict>
          <v:rect style="width:0;height:1.5pt" o:hralign="center" o:hrstd="t" o:hr="t"/>
        </w:pict>
      </w:r>
    </w:p>
    <w:bookmarkEnd w:id="28"/>
    <w:bookmarkStart w:id="29" w:name="胃肠道反应处理"/>
    <w:p>
      <w:pPr>
        <w:pStyle w:val="3"/>
      </w:pPr>
      <w:r>
        <w:t xml:space="preserve">2. 胃肠道反应处理</w:t>
      </w:r>
    </w:p>
    <w:p>
      <w:pPr>
        <w:pStyle w:val="FirstParagraph"/>
      </w:pPr>
      <w:r>
        <w:rPr>
          <w:b/>
          <w:bCs/>
        </w:rPr>
        <w:t xml:space="preserve">止吐治疗：</w:t>
      </w:r>
      <w:r>
        <w:t xml:space="preserve"> </w:t>
      </w:r>
      <w:r>
        <w:t xml:space="preserve">- 5-HT3受体拮抗药：</w:t>
      </w:r>
      <w:r>
        <w:t xml:space="preserve"> </w:t>
      </w:r>
      <w:r>
        <w:t xml:space="preserve">- 昂丹司琼</w:t>
      </w:r>
      <w:r>
        <w:t xml:space="preserve"> </w:t>
      </w:r>
      <w:r>
        <w:t xml:space="preserve">- 格拉司琼</w:t>
      </w:r>
      <w:r>
        <w:t xml:space="preserve"> </w:t>
      </w:r>
      <w:r>
        <w:t xml:space="preserve">- 雷莫司琼</w:t>
      </w:r>
    </w:p>
    <w:p>
      <w:pPr>
        <w:pStyle w:val="a0"/>
      </w:pPr>
      <w:r>
        <w:rPr>
          <w:b/>
          <w:bCs/>
        </w:rPr>
        <w:t xml:space="preserve">预防迟发症状：</w:t>
      </w:r>
      <w:r>
        <w:t xml:space="preserve"> </w:t>
      </w:r>
      <w:r>
        <w:t xml:space="preserve">- 口服地塞米松</w:t>
      </w:r>
      <w:r>
        <w:t xml:space="preserve"> </w:t>
      </w:r>
      <w:r>
        <w:t xml:space="preserve">- 可单独使用或与甲氧氯普胺、苯海拉明联合应用</w:t>
      </w:r>
    </w:p>
    <w:p>
      <w:r>
        <w:pict>
          <v:rect style="width:0;height:1.5pt" o:hralign="center" o:hrstd="t" o:hr="t"/>
        </w:pict>
      </w:r>
    </w:p>
    <w:bookmarkEnd w:id="29"/>
    <w:bookmarkStart w:id="30" w:name="神经毒性处理"/>
    <w:p>
      <w:pPr>
        <w:pStyle w:val="3"/>
      </w:pPr>
      <w:r>
        <w:t xml:space="preserve">3. 神经毒性处理</w:t>
      </w:r>
    </w:p>
    <w:p>
      <w:pPr>
        <w:pStyle w:val="FirstParagraph"/>
      </w:pPr>
      <w:r>
        <w:rPr>
          <w:b/>
          <w:bCs/>
        </w:rPr>
        <w:t xml:space="preserve">药物治疗：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钠通道阻滞药</w:t>
      </w:r>
      <w:r>
        <w:t xml:space="preserve">：卡马西平、加巴喷丁（减少神经毒性发生）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营养神经药物</w:t>
      </w:r>
      <w:r>
        <w:t xml:space="preserve">：维生素B1、维生素B6、维生素C（改善中毒症状）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干扰素</w:t>
      </w:r>
      <w:r>
        <w:t xml:space="preserve">：具有降低延迟和预防顺铂引起的神经毒性作用</w:t>
      </w:r>
    </w:p>
    <w:p>
      <w:pPr>
        <w:pStyle w:val="a0"/>
      </w:pPr>
      <w:r>
        <w:rPr>
          <w:b/>
          <w:bCs/>
        </w:rPr>
        <w:t xml:space="preserve">中医疗法：</w:t>
      </w:r>
      <w:r>
        <w:t xml:space="preserve"> </w:t>
      </w:r>
      <w:r>
        <w:t xml:space="preserve">- 中医针灸可有效减轻奥沙利铂等化疗药物导致的周围神经毒性</w:t>
      </w:r>
      <w:r>
        <w:t xml:space="preserve"> </w:t>
      </w:r>
      <w:r>
        <w:t xml:space="preserve">- ⚠️</w:t>
      </w:r>
      <w:r>
        <w:t xml:space="preserve"> </w:t>
      </w:r>
      <w:r>
        <w:rPr>
          <w:b/>
          <w:bCs/>
        </w:rPr>
        <w:t xml:space="preserve">必须在专业肿瘤医生指导下进行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四日常生活管理重要"/>
    <w:p>
      <w:pPr>
        <w:pStyle w:val="2"/>
      </w:pPr>
      <w:r>
        <w:t xml:space="preserve">四、日常生活管理（重要）</w:t>
      </w:r>
    </w:p>
    <w:bookmarkStart w:id="32" w:name="绝对禁忌使用奥沙利铂期间"/>
    <w:p>
      <w:pPr>
        <w:pStyle w:val="3"/>
      </w:pPr>
      <w:r>
        <w:t xml:space="preserve">⚠️ 绝对禁忌（使用奥沙利铂期间）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禁止使用冷水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禁止接触冷的物品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避免接触金属器物</w:t>
      </w:r>
      <w:r>
        <w:t xml:space="preserve">（如床档、输液架等，减少因冷刺激而加重肢端麻木）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不可用含铝制品烧水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不要进食冷品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避免用冷水刷牙</w:t>
      </w:r>
      <w:r>
        <w:t xml:space="preserve">（避免因低温诱发喉痉挛）</w:t>
      </w:r>
    </w:p>
    <w:p>
      <w:r>
        <w:pict>
          <v:rect style="width:0;height:1.5pt" o:hralign="center" o:hrstd="t" o:hr="t"/>
        </w:pict>
      </w:r>
    </w:p>
    <w:bookmarkEnd w:id="32"/>
    <w:bookmarkStart w:id="33" w:name="保暖措施"/>
    <w:p>
      <w:pPr>
        <w:pStyle w:val="3"/>
      </w:pPr>
      <w:r>
        <w:t xml:space="preserve">✅ 保暖措施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冬季防护</w:t>
      </w:r>
      <w:r>
        <w:t xml:space="preserve">：</w:t>
      </w:r>
    </w:p>
    <w:p>
      <w:pPr>
        <w:pStyle w:val="Compact"/>
        <w:numPr>
          <w:ilvl w:val="1"/>
          <w:numId w:val="1003"/>
        </w:numPr>
      </w:pPr>
      <w:r>
        <w:t xml:space="preserve">出门戴好口罩</w:t>
      </w:r>
    </w:p>
    <w:p>
      <w:pPr>
        <w:pStyle w:val="Compact"/>
        <w:numPr>
          <w:ilvl w:val="1"/>
          <w:numId w:val="1003"/>
        </w:numPr>
      </w:pPr>
      <w:r>
        <w:t xml:space="preserve">戴好帽子</w:t>
      </w:r>
    </w:p>
    <w:p>
      <w:pPr>
        <w:pStyle w:val="Compact"/>
        <w:numPr>
          <w:ilvl w:val="1"/>
          <w:numId w:val="1003"/>
        </w:numPr>
      </w:pPr>
      <w:r>
        <w:t xml:space="preserve">戴好手套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夏季防护</w:t>
      </w:r>
      <w:r>
        <w:t xml:space="preserve">：</w:t>
      </w:r>
    </w:p>
    <w:p>
      <w:pPr>
        <w:pStyle w:val="Compact"/>
        <w:numPr>
          <w:ilvl w:val="1"/>
          <w:numId w:val="1004"/>
        </w:numPr>
      </w:pPr>
      <w:r>
        <w:t xml:space="preserve">避免直面吹风扇</w:t>
      </w:r>
    </w:p>
    <w:p>
      <w:pPr>
        <w:pStyle w:val="Compact"/>
        <w:numPr>
          <w:ilvl w:val="1"/>
          <w:numId w:val="1004"/>
        </w:numPr>
      </w:pPr>
      <w:r>
        <w:t xml:space="preserve">空调房中披外套</w:t>
      </w:r>
    </w:p>
    <w:p>
      <w:r>
        <w:pict>
          <v:rect style="width:0;height:1.5pt" o:hralign="center" o:hrstd="t" o:hr="t"/>
        </w:pict>
      </w:r>
    </w:p>
    <w:bookmarkEnd w:id="33"/>
    <w:bookmarkStart w:id="34" w:name="康复护理"/>
    <w:p>
      <w:pPr>
        <w:pStyle w:val="3"/>
      </w:pPr>
      <w:r>
        <w:t xml:space="preserve">💆 康复护理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按摩</w:t>
      </w:r>
      <w:r>
        <w:t xml:space="preserve">：对感觉异常部位多按摩</w:t>
      </w:r>
    </w:p>
    <w:p>
      <w:pPr>
        <w:pStyle w:val="Compact"/>
        <w:numPr>
          <w:ilvl w:val="1"/>
          <w:numId w:val="1006"/>
        </w:numPr>
      </w:pPr>
      <w:r>
        <w:t xml:space="preserve">防止肌肉挛缩变形</w:t>
      </w:r>
    </w:p>
    <w:p>
      <w:pPr>
        <w:pStyle w:val="Compact"/>
        <w:numPr>
          <w:ilvl w:val="1"/>
          <w:numId w:val="1006"/>
        </w:numPr>
      </w:pPr>
      <w:r>
        <w:t xml:space="preserve">改善局部循环</w:t>
      </w:r>
    </w:p>
    <w:p>
      <w:pPr>
        <w:pStyle w:val="Compact"/>
        <w:numPr>
          <w:ilvl w:val="1"/>
          <w:numId w:val="1006"/>
        </w:numPr>
      </w:pPr>
      <w:r>
        <w:t xml:space="preserve">促进神经再生</w:t>
      </w:r>
    </w:p>
    <w:p>
      <w:pPr>
        <w:pStyle w:val="Compact"/>
        <w:numPr>
          <w:ilvl w:val="1"/>
          <w:numId w:val="1006"/>
        </w:numPr>
      </w:pPr>
      <w:r>
        <w:t xml:space="preserve">利于康复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五患者教育核心要点"/>
    <w:p>
      <w:pPr>
        <w:pStyle w:val="2"/>
      </w:pPr>
      <w:r>
        <w:t xml:space="preserve">五、患者教育核心要点</w:t>
      </w:r>
    </w:p>
    <w:bookmarkStart w:id="36" w:name="关键警示"/>
    <w:p>
      <w:pPr>
        <w:pStyle w:val="3"/>
      </w:pPr>
      <w:r>
        <w:t xml:space="preserve">🔴 关键警示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冷刺激禁忌是使用奥沙利铂期间最容易被忽视但最重要的生活禁忌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手脚麻木是最常见副作用</w:t>
      </w:r>
      <w:r>
        <w:t xml:space="preserve">，遇冷会加重，保暖可缓解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所有治疗方案调整必须遵从医嘱</w:t>
      </w:r>
      <w:r>
        <w:t xml:space="preserve">，以上方法仅供参考</w:t>
      </w:r>
    </w:p>
    <w:bookmarkEnd w:id="36"/>
    <w:bookmarkStart w:id="37" w:name="积极观念"/>
    <w:p>
      <w:pPr>
        <w:pStyle w:val="3"/>
      </w:pPr>
      <w:r>
        <w:t xml:space="preserve">🟢 积极观念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副作用是可控的</w:t>
      </w:r>
      <w:r>
        <w:t xml:space="preserve">，不可因副作用拒绝化疗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神经毒性多为可逆性</w:t>
      </w:r>
      <w:r>
        <w:t xml:space="preserve">，停药后可逐渐恢复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医学进步不断提供更多解决方案</w:t>
      </w:r>
    </w:p>
    <w:bookmarkEnd w:id="37"/>
    <w:bookmarkStart w:id="38" w:name="行动建议"/>
    <w:p>
      <w:pPr>
        <w:pStyle w:val="3"/>
      </w:pPr>
      <w:r>
        <w:t xml:space="preserve">📌 行动建议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化疗前</w:t>
      </w:r>
      <w:r>
        <w:t xml:space="preserve">：充分了解药物副作用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化疗期间</w:t>
      </w:r>
      <w:r>
        <w:t xml:space="preserve">：学会避免副作用的生活技巧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出现症状</w:t>
      </w:r>
      <w:r>
        <w:t xml:space="preserve">：及时与医生沟通，不要自行停药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六知识库标签"/>
    <w:p>
      <w:pPr>
        <w:pStyle w:val="2"/>
      </w:pPr>
      <w:r>
        <w:t xml:space="preserve">六、知识库标签</w:t>
      </w:r>
    </w:p>
    <w:p>
      <w:pPr>
        <w:pStyle w:val="FirstParagraph"/>
      </w:pPr>
      <w:r>
        <w:rPr>
          <w:b/>
          <w:bCs/>
        </w:rPr>
        <w:t xml:space="preserve">适用癌种</w:t>
      </w:r>
      <w:r>
        <w:t xml:space="preserve">：结直肠癌、胃癌、卵巢癌、非小细胞肺癌</w:t>
      </w:r>
      <w:r>
        <w:br/>
      </w:r>
      <w:r>
        <w:rPr>
          <w:b/>
          <w:bCs/>
        </w:rPr>
        <w:t xml:space="preserve">药物类别</w:t>
      </w:r>
      <w:r>
        <w:t xml:space="preserve">：铂类化疗药</w:t>
      </w:r>
      <w:r>
        <w:br/>
      </w:r>
      <w:r>
        <w:rPr>
          <w:b/>
          <w:bCs/>
        </w:rPr>
        <w:t xml:space="preserve">核心关键词</w:t>
      </w:r>
      <w:r>
        <w:t xml:space="preserve">：奥沙利铂、神经毒性、冷刺激禁忌、手脚麻木、白细胞减少、恶心呕吐</w:t>
      </w:r>
      <w:r>
        <w:br/>
      </w:r>
      <w:r>
        <w:rPr>
          <w:b/>
          <w:bCs/>
        </w:rPr>
        <w:t xml:space="preserve">紧急程度</w:t>
      </w:r>
      <w:r>
        <w:t xml:space="preserve">：神经毒性4级需立即就医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文档来源</w:t>
      </w:r>
      <w:r>
        <w:t xml:space="preserve">：觅健科普君《奥沙利铂副作用盘点，一文教你如何防治！》</w:t>
      </w:r>
      <w:r>
        <w:br/>
      </w:r>
      <w:r>
        <w:rPr>
          <w:b/>
          <w:bCs/>
        </w:rPr>
        <w:t xml:space="preserve">整理时间</w:t>
      </w:r>
      <w:r>
        <w:t xml:space="preserve">：2026-04-11</w:t>
      </w:r>
      <w:r>
        <w:br/>
      </w:r>
      <w:r>
        <w:rPr>
          <w:b/>
          <w:bCs/>
        </w:rPr>
        <w:t xml:space="preserve">用途</w:t>
      </w:r>
      <w:r>
        <w:t xml:space="preserve">：肿瘤就医陪伴助手Bot知识库</w:t>
      </w:r>
    </w:p>
    <w:bookmarkEnd w:id="40"/>
    <w:bookmarkEnd w:id="41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5F6CBF" w:rsidP="005F6CBF">
    <w:pPr>
      <w:pStyle w:val="af4"/>
      <w:jc w:val="right"/>
      <w:rPr>
        <w:sz w:val="24"/>
        <w:szCs w:val="24"/>
        <w:lang w:eastAsia="zh-CN"/>
      </w:rPr>
    </w:pPr>
    <w:r w:rsidRPr="005F6CBF">
      <w:rPr>
        <w:sz w:val="24"/>
        <w:szCs w:val="24"/>
      </w:rPr>
      <w:t>Kimi</w:t>
    </w:r>
    <w:r w:rsidR="00342A87">
      <w:rPr>
        <w:sz w:val="24"/>
        <w:szCs w:val="24"/>
      </w:rPr>
      <w:t>.ai</w:t>
    </w:r>
    <w:r w:rsidRPr="005F6CBF">
      <w:rPr>
        <w:rFonts w:hint="eastAsia"/>
        <w:sz w:val="24"/>
        <w:szCs w:val="24"/>
        <w:lang w:eastAsia="zh-CN"/>
      </w:rPr>
      <w:t xml:space="preserve"> </w:t>
    </w:r>
    <w:r w:rsidRPr="005F6CBF">
      <w:rPr>
        <w:rFonts w:hint="eastAsia"/>
        <w:sz w:val="24"/>
        <w:szCs w:val="24"/>
        <w:lang w:eastAsia="zh-CN"/>
      </w:rPr>
      <w:t>生成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C7A67"/>
    <w:rsid w:val="00342A87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71170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2026-04-11T12:14:28Z</dcterms:created>
  <dcterms:modified xsi:type="dcterms:W3CDTF">2026-04-11T12:14:28Z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cv3f7rhrqpmf7h16fsfg-19d7aa5e-0bc2-81f2-8000-090ac321db5d-20260411121428","ReservedCode1":"","ContentPropagator":"001191110108MACG2KBH8F20000","PropagateID":"cv3f7rhrqpmf7h16fsfg-19d7aa5e-0bc2-81f2-8000-090ac321db5d-20260411121428","ReservedCode2":""}</vt:lpwstr>
  </property>
</Properties>
</file>