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B3A5C"/>
          <w:sz w:val="56"/>
          <w:szCs w:val="56"/>
        </w:rPr>
        <w:t xml:space="preserve">ELSIAN INVEST 3.0</w:t>
      </w:r>
    </w:p>
    <w:p>
      <w:pPr>
        <w:pBdr>
          <w:bottom w:val="single" w:color="2E75B6" w:sz="4" w:space="12"/>
        </w:pBdr>
        <w:spacing w:after="100"/>
        <w:jc w:val="center"/>
      </w:pPr>
      <w:r>
        <w:rPr>
          <w:rFonts w:ascii="Arial" w:cs="Arial" w:eastAsia="Arial" w:hAnsi="Arial"/>
          <w:color w:val="2E75B6"/>
          <w:sz w:val="36"/>
          <w:szCs w:val="36"/>
        </w:rPr>
        <w:t xml:space="preserve">INFORME MAESTRO DE AUDITORÍA</w:t>
      </w:r>
    </w:p>
    <w:p>
      <w:pPr>
        <w:spacing w:before="400" w:after="100"/>
        <w:jc w:val="center"/>
      </w:pPr>
      <w:r>
        <w:rPr>
          <w:rFonts w:ascii="Arial" w:cs="Arial" w:eastAsia="Arial" w:hAnsi="Arial"/>
          <w:color w:val="616161"/>
          <w:sz w:val="24"/>
          <w:szCs w:val="24"/>
        </w:rPr>
        <w:t xml:space="preserve">Análisis exhaustivo del pipeline, casos ejecutados,</w:t>
      </w:r>
    </w:p>
    <w:p>
      <w:pPr>
        <w:spacing w:after="100"/>
        <w:jc w:val="center"/>
      </w:pPr>
      <w:r>
        <w:rPr>
          <w:rFonts w:ascii="Arial" w:cs="Arial" w:eastAsia="Arial" w:hAnsi="Arial"/>
          <w:color w:val="616161"/>
          <w:sz w:val="24"/>
          <w:szCs w:val="24"/>
        </w:rPr>
        <w:t xml:space="preserve">errores detectados y plan de mejoras</w:t>
      </w:r>
    </w:p>
    <w:p>
      <w:pPr>
        <w:spacing w:before="1200"/>
      </w:pPr>
    </w:p>
    <w:p>
      <w:pPr>
        <w:jc w:val="center"/>
      </w:pPr>
      <w:r>
        <w:rPr>
          <w:rFonts w:ascii="Arial" w:cs="Arial" w:eastAsia="Arial" w:hAnsi="Arial"/>
          <w:color w:val="616161"/>
          <w:sz w:val="22"/>
          <w:szCs w:val="22"/>
        </w:rPr>
        <w:t xml:space="preserve">Fecha: 24 de febrero de 2026</w:t>
      </w:r>
    </w:p>
    <w:p>
      <w:pPr>
        <w:spacing w:after="100"/>
        <w:jc w:val="center"/>
      </w:pPr>
      <w:r>
        <w:rPr>
          <w:rFonts w:ascii="Arial" w:cs="Arial" w:eastAsia="Arial" w:hAnsi="Arial"/>
          <w:color w:val="616161"/>
          <w:sz w:val="22"/>
          <w:szCs w:val="22"/>
        </w:rPr>
        <w:t xml:space="preserve">Versión: 1.0 | Confidencial</w:t>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rPr>
        <w:t xml:space="preserve">ÍNDICE</w:t>
      </w:r>
    </w:p>
    <w:p>
      <w:pPr>
        <w:spacing w:after="120"/>
      </w:pPr>
      <w:r>
        <w:rPr>
          <w:rFonts w:ascii="Arial" w:cs="Arial" w:eastAsia="Arial" w:hAnsi="Arial"/>
          <w:b/>
          <w:bCs/>
          <w:color w:val="212121"/>
          <w:sz w:val="24"/>
          <w:szCs w:val="24"/>
        </w:rPr>
        <w:t xml:space="preserve">1. Resumen Ejecutivo</w:t>
      </w:r>
    </w:p>
    <w:p>
      <w:pPr>
        <w:spacing w:after="120"/>
      </w:pPr>
      <w:r>
        <w:rPr>
          <w:rFonts w:ascii="Arial" w:cs="Arial" w:eastAsia="Arial" w:hAnsi="Arial"/>
          <w:b/>
          <w:bCs/>
          <w:color w:val="212121"/>
          <w:sz w:val="24"/>
          <w:szCs w:val="24"/>
        </w:rPr>
        <w:t xml:space="preserve">2. Arquitectura del Sistema</w:t>
      </w:r>
    </w:p>
    <w:p>
      <w:pPr>
        <w:spacing w:after="120"/>
      </w:pPr>
      <w:r>
        <w:rPr>
          <w:rFonts w:ascii="Arial" w:cs="Arial" w:eastAsia="Arial" w:hAnsi="Arial"/>
          <w:b/>
          <w:bCs/>
          <w:color w:val="212121"/>
          <w:sz w:val="24"/>
          <w:szCs w:val="24"/>
        </w:rPr>
        <w:t xml:space="preserve">3. Radiografía de Casos Ejecutados</w:t>
      </w:r>
    </w:p>
    <w:p>
      <w:pPr>
        <w:spacing w:after="120"/>
      </w:pPr>
      <w:r>
        <w:rPr>
          <w:rFonts w:ascii="Arial" w:cs="Arial" w:eastAsia="Arial" w:hAnsi="Arial"/>
          <w:b/>
          <w:bCs/>
          <w:color w:val="212121"/>
          <w:sz w:val="24"/>
          <w:szCs w:val="24"/>
        </w:rPr>
        <w:t xml:space="preserve">4. Análisis de Tickers Internacionales</w:t>
      </w:r>
    </w:p>
    <w:p>
      <w:pPr>
        <w:spacing w:after="120"/>
      </w:pPr>
      <w:r>
        <w:rPr>
          <w:rFonts w:ascii="Arial" w:cs="Arial" w:eastAsia="Arial" w:hAnsi="Arial"/>
          <w:b/>
          <w:bCs/>
          <w:color w:val="212121"/>
          <w:sz w:val="24"/>
          <w:szCs w:val="24"/>
        </w:rPr>
        <w:t xml:space="preserve">5. Taxonomía de Errores y Fallos</w:t>
      </w:r>
    </w:p>
    <w:p>
      <w:pPr>
        <w:spacing w:after="120"/>
      </w:pPr>
      <w:r>
        <w:rPr>
          <w:rFonts w:ascii="Arial" w:cs="Arial" w:eastAsia="Arial" w:hAnsi="Arial"/>
          <w:b/>
          <w:bCs/>
          <w:color w:val="212121"/>
          <w:sz w:val="24"/>
          <w:szCs w:val="24"/>
        </w:rPr>
        <w:t xml:space="preserve">6. Análisis del Sistema Multi-Modelo</w:t>
      </w:r>
    </w:p>
    <w:p>
      <w:pPr>
        <w:spacing w:after="120"/>
      </w:pPr>
      <w:r>
        <w:rPr>
          <w:rFonts w:ascii="Arial" w:cs="Arial" w:eastAsia="Arial" w:hAnsi="Arial"/>
          <w:b/>
          <w:bCs/>
          <w:color w:val="212121"/>
          <w:sz w:val="24"/>
          <w:szCs w:val="24"/>
        </w:rPr>
        <w:t xml:space="preserve">7. Problemas de Robustez del Pipeline</w:t>
      </w:r>
    </w:p>
    <w:p>
      <w:pPr>
        <w:spacing w:after="120"/>
      </w:pPr>
      <w:r>
        <w:rPr>
          <w:rFonts w:ascii="Arial" w:cs="Arial" w:eastAsia="Arial" w:hAnsi="Arial"/>
          <w:b/>
          <w:bCs/>
          <w:color w:val="212121"/>
          <w:sz w:val="24"/>
          <w:szCs w:val="24"/>
        </w:rPr>
        <w:t xml:space="preserve">8. Plan Maestro de Mejoras</w:t>
      </w:r>
    </w:p>
    <w:p>
      <w:pPr>
        <w:spacing w:after="120"/>
      </w:pPr>
      <w:r>
        <w:rPr>
          <w:rFonts w:ascii="Arial" w:cs="Arial" w:eastAsia="Arial" w:hAnsi="Arial"/>
          <w:b/>
          <w:bCs/>
          <w:color w:val="212121"/>
          <w:sz w:val="24"/>
          <w:szCs w:val="24"/>
        </w:rPr>
        <w:t xml:space="preserve">9. Matriz de Riesgos y Priorización</w:t>
      </w:r>
    </w:p>
    <w:p>
      <w:pPr>
        <w:spacing w:after="120"/>
      </w:pPr>
      <w:r>
        <w:rPr>
          <w:rFonts w:ascii="Arial" w:cs="Arial" w:eastAsia="Arial" w:hAnsi="Arial"/>
          <w:b/>
          <w:bCs/>
          <w:color w:val="212121"/>
          <w:sz w:val="24"/>
          <w:szCs w:val="24"/>
        </w:rPr>
        <w:t xml:space="preserve">10. Conclusiones</w:t>
      </w:r>
    </w:p>
    <w:p>
      <w:pPr>
        <w:sectPr>
          <w:headerReference w:type="default" r:id="rId6"/>
          <w:footerReference w:type="default" r:id="rId7"/>
          <w:pgSz w:w="12240" w:h="15840" w:orient="portrait"/>
          <w:pgMar w:top="1440" w:right="1440" w:bottom="1440" w:left="1440" w:header="708" w:footer="708" w:gutter="0"/>
          <w:pgNumType/>
          <w:docGrid w:linePitch="360"/>
        </w:sectPr>
      </w:pPr>
    </w:p>
    <w:p>
      <w:pPr>
        <w:pStyle w:val="Heading1"/>
      </w:pPr>
      <w:r>
        <w:rPr>
          <w:rFonts w:ascii="Arial" w:cs="Arial" w:eastAsia="Arial" w:hAnsi="Arial"/>
        </w:rPr>
        <w:t xml:space="preserve">1. RESUMEN EJECUTIVO</w:t>
      </w:r>
    </w:p>
    <w:p>
      <w:pPr>
        <w:spacing w:after="120"/>
      </w:pPr>
      <w:r>
        <w:rPr>
          <w:rFonts w:ascii="Arial" w:cs="Arial" w:eastAsia="Arial" w:hAnsi="Arial"/>
          <w:color w:val="212121"/>
          <w:sz w:val="22"/>
          <w:szCs w:val="22"/>
        </w:rPr>
        <w:t xml:space="preserve">ELSIAN INVEST 3.0 es un sistema avanzado de análisis de inversiones basado en inteligencia artificial multi-modelo. El pipeline orquesta múltiples LLMs (GPT-5.3 Codex, Claude Opus 4.6, Gemini 3 Pro) para analizar oportunidades de inversión en renta variable, ejecutando un flujo de 15 pasos que va desde la obtención de documentos SEC hasta la decisión final de inversión.</w:t>
      </w:r>
    </w:p>
    <w:p>
      <w:pPr>
        <w:pStyle w:val="Heading2"/>
      </w:pPr>
      <w:r>
        <w:rPr>
          <w:rFonts w:ascii="Arial" w:cs="Arial" w:eastAsia="Arial" w:hAnsi="Arial"/>
        </w:rPr>
        <w:t xml:space="preserve">1.1 Estado Actual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Métrica</w:t>
            </w:r>
          </w:p>
        </w:tc>
        <w:tc>
          <w:tcPr>
            <w:tcW w:type="dxa" w:w="468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Valor</w:t>
            </w:r>
          </w:p>
        </w:tc>
      </w:tr>
      <w:tr>
        <w:tc>
          <w:tcPr>
            <w:tcW w:type="dxa" w:w="468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color w:val="212121"/>
                <w:sz w:val="18"/>
                <w:szCs w:val="18"/>
              </w:rPr>
              <w:t xml:space="preserve">Casos totales procesados</w:t>
            </w:r>
          </w:p>
        </w:tc>
        <w:tc>
          <w:tcPr>
            <w:tcW w:type="dxa" w:w="468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b/>
                <w:bCs/>
                <w:color w:val="212121"/>
                <w:sz w:val="18"/>
                <w:szCs w:val="18"/>
              </w:rPr>
              <w:t xml:space="preserve">14 tickers</w:t>
            </w:r>
          </w:p>
        </w:tc>
      </w:tr>
      <w:tr>
        <w:tc>
          <w:tcPr>
            <w:tcW w:type="dxa" w:w="468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color w:val="212121"/>
                <w:sz w:val="18"/>
                <w:szCs w:val="18"/>
              </w:rPr>
              <w:t xml:space="preserve">Casos completados (DecisionPacket final)</w:t>
            </w:r>
          </w:p>
        </w:tc>
        <w:tc>
          <w:tcPr>
            <w:tcW w:type="dxa" w:w="468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b/>
                <w:bCs/>
                <w:color w:val="2E7D32"/>
                <w:sz w:val="18"/>
                <w:szCs w:val="18"/>
              </w:rPr>
              <w:t xml:space="preserve">8 (57%)</w:t>
            </w:r>
          </w:p>
        </w:tc>
      </w:tr>
      <w:tr>
        <w:tc>
          <w:tcPr>
            <w:tcW w:type="dxa" w:w="468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color w:val="212121"/>
                <w:sz w:val="18"/>
                <w:szCs w:val="18"/>
              </w:rPr>
              <w:t xml:space="preserve">Casos en progreso</w:t>
            </w:r>
          </w:p>
        </w:tc>
        <w:tc>
          <w:tcPr>
            <w:tcW w:type="dxa" w:w="468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b/>
                <w:bCs/>
                <w:color w:val="E65100"/>
                <w:sz w:val="18"/>
                <w:szCs w:val="18"/>
              </w:rPr>
              <w:t xml:space="preserve">5 (36%)</w:t>
            </w:r>
          </w:p>
        </w:tc>
      </w:tr>
      <w:tr>
        <w:tc>
          <w:tcPr>
            <w:tcW w:type="dxa" w:w="468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color w:val="212121"/>
                <w:sz w:val="18"/>
                <w:szCs w:val="18"/>
              </w:rPr>
              <w:t xml:space="preserve">Casos fallidos</w:t>
            </w:r>
          </w:p>
        </w:tc>
        <w:tc>
          <w:tcPr>
            <w:tcW w:type="dxa" w:w="468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b/>
                <w:bCs/>
                <w:color w:val="C62828"/>
                <w:sz w:val="18"/>
                <w:szCs w:val="18"/>
              </w:rPr>
              <w:t xml:space="preserve">1 (7%)</w:t>
            </w:r>
          </w:p>
        </w:tc>
      </w:tr>
      <w:tr>
        <w:tc>
          <w:tcPr>
            <w:tcW w:type="dxa" w:w="468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color w:val="212121"/>
                <w:sz w:val="18"/>
                <w:szCs w:val="18"/>
              </w:rPr>
              <w:t xml:space="preserve">Decisión unánime (todos los completados)</w:t>
            </w:r>
          </w:p>
        </w:tc>
        <w:tc>
          <w:tcPr>
            <w:tcW w:type="dxa" w:w="468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b/>
                <w:bCs/>
                <w:color w:val="212121"/>
                <w:sz w:val="18"/>
                <w:szCs w:val="18"/>
              </w:rPr>
              <w:t xml:space="preserve">WATCHLIST (100%)</w:t>
            </w:r>
          </w:p>
        </w:tc>
      </w:tr>
      <w:tr>
        <w:tc>
          <w:tcPr>
            <w:tcW w:type="dxa" w:w="468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color w:val="212121"/>
                <w:sz w:val="18"/>
                <w:szCs w:val="18"/>
              </w:rPr>
              <w:t xml:space="preserve">Confianza media</w:t>
            </w:r>
          </w:p>
        </w:tc>
        <w:tc>
          <w:tcPr>
            <w:tcW w:type="dxa" w:w="468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212121"/>
                <w:sz w:val="18"/>
                <w:szCs w:val="18"/>
              </w:rPr>
              <w:t xml:space="preserve">0.59 / 1.00</w:t>
            </w:r>
          </w:p>
        </w:tc>
      </w:tr>
      <w:tr>
        <w:tc>
          <w:tcPr>
            <w:tcW w:type="dxa" w:w="468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color w:val="212121"/>
                <w:sz w:val="18"/>
                <w:szCs w:val="18"/>
              </w:rPr>
              <w:t xml:space="preserve">Tasa de éxito de votación (≥80)</w:t>
            </w:r>
          </w:p>
        </w:tc>
        <w:tc>
          <w:tcPr>
            <w:tcW w:type="dxa" w:w="468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212121"/>
                <w:sz w:val="18"/>
                <w:szCs w:val="18"/>
              </w:rPr>
              <w:t xml:space="preserve">75.9% (480/632)</w:t>
            </w:r>
          </w:p>
        </w:tc>
      </w:tr>
      <w:tr>
        <w:tc>
          <w:tcPr>
            <w:tcW w:type="dxa" w:w="468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color w:val="212121"/>
                <w:sz w:val="18"/>
                <w:szCs w:val="18"/>
              </w:rPr>
              <w:t xml:space="preserve">Errores totales detectados</w:t>
            </w:r>
          </w:p>
        </w:tc>
        <w:tc>
          <w:tcPr>
            <w:tcW w:type="dxa" w:w="468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b/>
                <w:bCs/>
                <w:color w:val="C62828"/>
                <w:sz w:val="18"/>
                <w:szCs w:val="18"/>
              </w:rPr>
              <w:t xml:space="preserve">139 eventos</w:t>
            </w:r>
          </w:p>
        </w:tc>
      </w:tr>
      <w:tr>
        <w:tc>
          <w:tcPr>
            <w:tcW w:type="dxa" w:w="468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color w:val="212121"/>
                <w:sz w:val="18"/>
                <w:szCs w:val="18"/>
              </w:rPr>
              <w:t xml:space="preserve">Modelos activos</w:t>
            </w:r>
          </w:p>
        </w:tc>
        <w:tc>
          <w:tcPr>
            <w:tcW w:type="dxa" w:w="468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212121"/>
                <w:sz w:val="18"/>
                <w:szCs w:val="18"/>
              </w:rPr>
              <w:t xml:space="preserve">Codex, Claude, Gemini</w:t>
            </w:r>
          </w:p>
        </w:tc>
      </w:tr>
      <w:tr>
        <w:tc>
          <w:tcPr>
            <w:tcW w:type="dxa" w:w="468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color w:val="212121"/>
                <w:sz w:val="18"/>
                <w:szCs w:val="18"/>
              </w:rPr>
              <w:t xml:space="preserve">Schemas definidos</w:t>
            </w:r>
          </w:p>
        </w:tc>
        <w:tc>
          <w:tcPr>
            <w:tcW w:type="dxa" w:w="468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212121"/>
                <w:sz w:val="18"/>
                <w:szCs w:val="18"/>
              </w:rPr>
              <w:t xml:space="preserve">32 contratos JSON</w:t>
            </w:r>
          </w:p>
        </w:tc>
      </w:tr>
      <w:tr>
        <w:tc>
          <w:tcPr>
            <w:tcW w:type="dxa" w:w="468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color w:val="212121"/>
                <w:sz w:val="18"/>
                <w:szCs w:val="18"/>
              </w:rPr>
              <w:t xml:space="preserve">Instrucciones de agente</w:t>
            </w:r>
          </w:p>
        </w:tc>
        <w:tc>
          <w:tcPr>
            <w:tcW w:type="dxa" w:w="468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212121"/>
                <w:sz w:val="18"/>
                <w:szCs w:val="18"/>
              </w:rPr>
              <w:t xml:space="preserve">33 archivos activos</w:t>
            </w:r>
          </w:p>
        </w:tc>
      </w:tr>
    </w:tbl>
    <w:p>
      <w:pPr>
        <w:spacing w:after="120"/>
      </w:pPr>
      <w:r>
        <w:rPr>
          <w:rFonts w:ascii="Arial" w:cs="Arial" w:eastAsia="Arial" w:hAnsi="Arial"/>
          <w:color w:val="212121"/>
          <w:sz w:val="22"/>
          <w:szCs w:val="22"/>
        </w:rPr>
        <w:t xml:space="preserve"/>
      </w:r>
    </w:p>
    <w:p>
      <w:pPr>
        <w:pStyle w:val="Heading2"/>
      </w:pPr>
      <w:r>
        <w:rPr>
          <w:rFonts w:ascii="Arial" w:cs="Arial" w:eastAsia="Arial" w:hAnsi="Arial"/>
        </w:rPr>
        <w:t xml:space="preserve">1.2 Hallazgos Críticos</w:t>
      </w:r>
    </w:p>
    <w:p>
      <w:pPr>
        <w:pStyle w:val="ListParagraph"/>
        <w:numPr>
          <w:ilvl w:val="0"/>
          <w:numId w:val="2"/>
        </w:numPr>
        <w:spacing w:after="60"/>
      </w:pPr>
      <w:r>
        <w:rPr>
          <w:rFonts w:ascii="Arial" w:cs="Arial" w:eastAsia="Arial" w:hAnsi="Arial"/>
          <w:sz w:val="20"/>
          <w:szCs w:val="20"/>
        </w:rPr>
        <w:t xml:space="preserve">Todos los 8 casos completados resultan en WATCHLIST — el pipeline es conservador por diseño, pero la ausencia total de decisiones INVEST o DISCARD sugiere posible sobreajuste del umbral de confianza</w:t>
      </w:r>
    </w:p>
    <w:p>
      <w:pPr>
        <w:pStyle w:val="ListParagraph"/>
        <w:numPr>
          <w:ilvl w:val="0"/>
          <w:numId w:val="2"/>
        </w:numPr>
        <w:spacing w:after="60"/>
      </w:pPr>
      <w:r>
        <w:rPr>
          <w:rFonts w:ascii="Arial" w:cs="Arial" w:eastAsia="Arial" w:hAnsi="Arial"/>
          <w:sz w:val="20"/>
          <w:szCs w:val="20"/>
        </w:rPr>
        <w:t xml:space="preserve">TEP (TotalEnergies/Francia) falla catastróficamente por error de identidad: la URL de IR apunta a Teleperformance en vez de TotalEnergies, y no existe validación de identidad corporativa</w:t>
      </w:r>
    </w:p>
    <w:p>
      <w:pPr>
        <w:pStyle w:val="ListParagraph"/>
        <w:numPr>
          <w:ilvl w:val="0"/>
          <w:numId w:val="2"/>
        </w:numPr>
        <w:spacing w:after="60"/>
      </w:pPr>
      <w:r>
        <w:rPr>
          <w:rFonts w:ascii="Arial" w:cs="Arial" w:eastAsia="Arial" w:hAnsi="Arial"/>
          <w:sz w:val="20"/>
          <w:szCs w:val="20"/>
        </w:rPr>
        <w:t xml:space="preserve">SOM tiene metadatos de país/exchange perdidos en el DecisionPacket (bug de propagación) pese a estar correctos en _estado.json</w:t>
      </w:r>
    </w:p>
    <w:p>
      <w:pPr>
        <w:pStyle w:val="ListParagraph"/>
        <w:numPr>
          <w:ilvl w:val="0"/>
          <w:numId w:val="2"/>
        </w:numPr>
        <w:spacing w:after="60"/>
      </w:pPr>
      <w:r>
        <w:rPr>
          <w:rFonts w:ascii="Arial" w:cs="Arial" w:eastAsia="Arial" w:hAnsi="Arial"/>
          <w:sz w:val="20"/>
          <w:szCs w:val="20"/>
        </w:rPr>
        <w:t xml:space="preserve">Claude underperforma en ARBITRO con 33% de fallos (3 de 9 votos &lt;80) por campos críticos faltantes</w:t>
      </w:r>
    </w:p>
    <w:p>
      <w:pPr>
        <w:pStyle w:val="ListParagraph"/>
        <w:numPr>
          <w:ilvl w:val="0"/>
          <w:numId w:val="2"/>
        </w:numPr>
        <w:spacing w:after="60"/>
      </w:pPr>
      <w:r>
        <w:rPr>
          <w:rFonts w:ascii="Arial" w:cs="Arial" w:eastAsia="Arial" w:hAnsi="Arial"/>
          <w:sz w:val="20"/>
          <w:szCs w:val="20"/>
        </w:rPr>
        <w:t xml:space="preserve">Gemini sufre rate limiting severo (HTTP 429) durante ejecución paralela, causando 35+ fallos de backend</w:t>
      </w:r>
    </w:p>
    <w:p>
      <w:pPr>
        <w:pStyle w:val="ListParagraph"/>
        <w:numPr>
          <w:ilvl w:val="0"/>
          <w:numId w:val="2"/>
        </w:numPr>
        <w:spacing w:after="60"/>
      </w:pPr>
      <w:r>
        <w:rPr>
          <w:rFonts w:ascii="Arial" w:cs="Arial" w:eastAsia="Arial" w:hAnsi="Arial"/>
          <w:sz w:val="20"/>
          <w:szCs w:val="20"/>
        </w:rPr>
        <w:t xml:space="preserve">Rutas de binarios hardcodeadas a macOS (/opt/homebrew/bin/) imposibilitan despliegue en Linux/CI</w:t>
      </w:r>
    </w:p>
    <w:p>
      <w:pPr>
        <w:pStyle w:val="ListParagraph"/>
        <w:numPr>
          <w:ilvl w:val="0"/>
          <w:numId w:val="2"/>
        </w:numPr>
        <w:spacing w:after="60"/>
      </w:pPr>
      <w:r>
        <w:rPr>
          <w:rFonts w:ascii="Arial" w:cs="Arial" w:eastAsia="Arial" w:hAnsi="Arial"/>
          <w:sz w:val="20"/>
          <w:szCs w:val="20"/>
        </w:rPr>
        <w:t xml:space="preserve">El truncamiento de prompts puede romper estructuras JSON sin validación post-truncado</w:t>
      </w:r>
    </w:p>
    <w:p>
      <w:r>
        <w:br w:type="page"/>
      </w:r>
    </w:p>
    <w:p>
      <w:pPr>
        <w:pStyle w:val="Heading1"/>
      </w:pPr>
      <w:r>
        <w:rPr>
          <w:rFonts w:ascii="Arial" w:cs="Arial" w:eastAsia="Arial" w:hAnsi="Arial"/>
        </w:rPr>
        <w:t xml:space="preserve">2. ARQUITECTURA DEL SISTEMA</w:t>
      </w:r>
    </w:p>
    <w:p>
      <w:pPr>
        <w:pStyle w:val="Heading2"/>
      </w:pPr>
      <w:r>
        <w:rPr>
          <w:rFonts w:ascii="Arial" w:cs="Arial" w:eastAsia="Arial" w:hAnsi="Arial"/>
        </w:rPr>
        <w:t xml:space="preserve">2.1 Pipeline Principal (15 pasos)</w:t>
      </w:r>
    </w:p>
    <w:p>
      <w:pPr>
        <w:spacing w:after="120"/>
      </w:pPr>
      <w:r>
        <w:rPr>
          <w:rFonts w:ascii="Arial" w:cs="Arial" w:eastAsia="Arial" w:hAnsi="Arial"/>
          <w:color w:val="212121"/>
          <w:sz w:val="22"/>
          <w:szCs w:val="22"/>
        </w:rPr>
        <w:t xml:space="preserve">El pipeline se ejecuta como un DAG (grafo acíclico dirigido) con dependencias explícitas entre pasos. Algunos pasos se ejecutan en paralelo (CATALYST || FORENSIC), mientras que otros son estrictamente secuenciales.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1400"/>
        <w:gridCol w:w="1200"/>
        <w:gridCol w:w="1200"/>
        <w:gridCol w:w="1400"/>
        <w:gridCol w:w="1460"/>
      </w:tblGrid>
      <w:tr>
        <w:tc>
          <w:tcPr>
            <w:tcW w:type="dxa" w:w="5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w:t>
            </w:r>
          </w:p>
        </w:tc>
        <w:tc>
          <w:tcPr>
            <w:tcW w:type="dxa" w:w="22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Paso</w:t>
            </w:r>
          </w:p>
        </w:tc>
        <w:tc>
          <w:tcPr>
            <w:tcW w:type="dxa" w:w="14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Tipo</w:t>
            </w:r>
          </w:p>
        </w:tc>
        <w:tc>
          <w:tcPr>
            <w:tcW w:type="dxa" w:w="12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Multi-Modelo</w:t>
            </w:r>
          </w:p>
        </w:tc>
        <w:tc>
          <w:tcPr>
            <w:tcW w:type="dxa" w:w="12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Timeout</w:t>
            </w:r>
          </w:p>
        </w:tc>
        <w:tc>
          <w:tcPr>
            <w:tcW w:type="dxa" w:w="14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Tasa Éxito</w:t>
            </w:r>
          </w:p>
        </w:tc>
        <w:tc>
          <w:tcPr>
            <w:tcW w:type="dxa" w:w="146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Criticidad</w:t>
            </w:r>
          </w:p>
        </w:tc>
      </w:tr>
      <w:tr>
        <w:tc>
          <w:tcPr>
            <w:tcW w:type="dxa" w:w="5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212121"/>
                <w:sz w:val="18"/>
                <w:szCs w:val="18"/>
              </w:rPr>
              <w:t xml:space="preserve">1</w:t>
            </w:r>
          </w:p>
        </w:tc>
        <w:tc>
          <w:tcPr>
            <w:tcW w:type="dxa" w:w="22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color w:val="212121"/>
                <w:sz w:val="18"/>
                <w:szCs w:val="18"/>
              </w:rPr>
              <w:t xml:space="preserve">PREFETCH</w:t>
            </w:r>
          </w:p>
        </w:tc>
        <w:tc>
          <w:tcPr>
            <w:tcW w:type="dxa" w:w="14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color w:val="212121"/>
                <w:sz w:val="18"/>
                <w:szCs w:val="18"/>
              </w:rPr>
              <w:t xml:space="preserve">Python/Paralelo</w:t>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212121"/>
                <w:sz w:val="18"/>
                <w:szCs w:val="18"/>
              </w:rPr>
              <w:t xml:space="preserve">No</w:t>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212121"/>
                <w:sz w:val="18"/>
                <w:szCs w:val="18"/>
              </w:rPr>
              <w:t xml:space="preserve">900s</w:t>
            </w:r>
          </w:p>
        </w:tc>
        <w:tc>
          <w:tcPr>
            <w:tcW w:type="dxa" w:w="14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2E7D32"/>
                <w:sz w:val="18"/>
                <w:szCs w:val="18"/>
              </w:rPr>
              <w:t xml:space="preserve">100%</w:t>
            </w:r>
          </w:p>
        </w:tc>
        <w:tc>
          <w:tcPr>
            <w:tcW w:type="dxa" w:w="14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212121"/>
                <w:sz w:val="18"/>
                <w:szCs w:val="18"/>
              </w:rPr>
              <w:t xml:space="preserve">Alta</w:t>
            </w:r>
          </w:p>
        </w:tc>
      </w:tr>
      <w:tr>
        <w:tc>
          <w:tcPr>
            <w:tcW w:type="dxa" w:w="5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212121"/>
                <w:sz w:val="18"/>
                <w:szCs w:val="18"/>
              </w:rPr>
              <w:t xml:space="preserve">2</w:t>
            </w:r>
          </w:p>
        </w:tc>
        <w:tc>
          <w:tcPr>
            <w:tcW w:type="dxa" w:w="22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color w:val="212121"/>
                <w:sz w:val="18"/>
                <w:szCs w:val="18"/>
              </w:rPr>
              <w:t xml:space="preserve">SOURCES_COMPILER</w:t>
            </w:r>
          </w:p>
        </w:tc>
        <w:tc>
          <w:tcPr>
            <w:tcW w:type="dxa" w:w="14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color w:val="212121"/>
                <w:sz w:val="18"/>
                <w:szCs w:val="18"/>
              </w:rPr>
              <w:t xml:space="preserve">Python</w:t>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212121"/>
                <w:sz w:val="18"/>
                <w:szCs w:val="18"/>
              </w:rPr>
              <w:t xml:space="preserve">No</w:t>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212121"/>
                <w:sz w:val="18"/>
                <w:szCs w:val="18"/>
              </w:rPr>
              <w:t xml:space="preserve">-</w:t>
            </w:r>
          </w:p>
        </w:tc>
        <w:tc>
          <w:tcPr>
            <w:tcW w:type="dxa" w:w="14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2E7D32"/>
                <w:sz w:val="18"/>
                <w:szCs w:val="18"/>
              </w:rPr>
              <w:t xml:space="preserve">100%</w:t>
            </w:r>
          </w:p>
        </w:tc>
        <w:tc>
          <w:tcPr>
            <w:tcW w:type="dxa" w:w="14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212121"/>
                <w:sz w:val="18"/>
                <w:szCs w:val="18"/>
              </w:rPr>
              <w:t xml:space="preserve">Alta</w:t>
            </w:r>
          </w:p>
        </w:tc>
      </w:tr>
      <w:tr>
        <w:tc>
          <w:tcPr>
            <w:tcW w:type="dxa" w:w="5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212121"/>
                <w:sz w:val="18"/>
                <w:szCs w:val="18"/>
              </w:rPr>
              <w:t xml:space="preserve">3</w:t>
            </w:r>
          </w:p>
        </w:tc>
        <w:tc>
          <w:tcPr>
            <w:tcW w:type="dxa" w:w="22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color w:val="212121"/>
                <w:sz w:val="18"/>
                <w:szCs w:val="18"/>
              </w:rPr>
              <w:t xml:space="preserve">TP_EXTRACTOR_FILING</w:t>
            </w:r>
          </w:p>
        </w:tc>
        <w:tc>
          <w:tcPr>
            <w:tcW w:type="dxa" w:w="14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color w:val="212121"/>
                <w:sz w:val="18"/>
                <w:szCs w:val="18"/>
              </w:rPr>
              <w:t xml:space="preserve">LLM/filing</w:t>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212121"/>
                <w:sz w:val="18"/>
                <w:szCs w:val="18"/>
              </w:rPr>
              <w:t xml:space="preserve">No</w:t>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212121"/>
                <w:sz w:val="18"/>
                <w:szCs w:val="18"/>
              </w:rPr>
              <w:t xml:space="preserve">300s</w:t>
            </w:r>
          </w:p>
        </w:tc>
        <w:tc>
          <w:tcPr>
            <w:tcW w:type="dxa" w:w="14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C62828"/>
                <w:sz w:val="18"/>
                <w:szCs w:val="18"/>
              </w:rPr>
              <w:t xml:space="preserve">53.8%</w:t>
            </w:r>
          </w:p>
        </w:tc>
        <w:tc>
          <w:tcPr>
            <w:tcW w:type="dxa" w:w="14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C62828"/>
                <w:sz w:val="18"/>
                <w:szCs w:val="18"/>
              </w:rPr>
              <w:t xml:space="preserve">Crítica</w:t>
            </w:r>
          </w:p>
        </w:tc>
      </w:tr>
      <w:tr>
        <w:tc>
          <w:tcPr>
            <w:tcW w:type="dxa" w:w="5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212121"/>
                <w:sz w:val="18"/>
                <w:szCs w:val="18"/>
              </w:rPr>
              <w:t xml:space="preserve">4</w:t>
            </w:r>
          </w:p>
        </w:tc>
        <w:tc>
          <w:tcPr>
            <w:tcW w:type="dxa" w:w="22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color w:val="212121"/>
                <w:sz w:val="18"/>
                <w:szCs w:val="18"/>
              </w:rPr>
              <w:t xml:space="preserve">TP_MERGER</w:t>
            </w:r>
          </w:p>
        </w:tc>
        <w:tc>
          <w:tcPr>
            <w:tcW w:type="dxa" w:w="14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color w:val="212121"/>
                <w:sz w:val="18"/>
                <w:szCs w:val="18"/>
              </w:rPr>
              <w:t xml:space="preserve">Python</w:t>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212121"/>
                <w:sz w:val="18"/>
                <w:szCs w:val="18"/>
              </w:rPr>
              <w:t xml:space="preserve">No</w:t>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212121"/>
                <w:sz w:val="18"/>
                <w:szCs w:val="18"/>
              </w:rPr>
              <w:t xml:space="preserve">-</w:t>
            </w:r>
          </w:p>
        </w:tc>
        <w:tc>
          <w:tcPr>
            <w:tcW w:type="dxa" w:w="14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E65100"/>
                <w:sz w:val="18"/>
                <w:szCs w:val="18"/>
              </w:rPr>
              <w:t xml:space="preserve">~75%</w:t>
            </w:r>
          </w:p>
        </w:tc>
        <w:tc>
          <w:tcPr>
            <w:tcW w:type="dxa" w:w="14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212121"/>
                <w:sz w:val="18"/>
                <w:szCs w:val="18"/>
              </w:rPr>
              <w:t xml:space="preserve">Alta</w:t>
            </w:r>
          </w:p>
        </w:tc>
      </w:tr>
      <w:tr>
        <w:tc>
          <w:tcPr>
            <w:tcW w:type="dxa" w:w="5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212121"/>
                <w:sz w:val="18"/>
                <w:szCs w:val="18"/>
              </w:rPr>
              <w:t xml:space="preserve">5</w:t>
            </w:r>
          </w:p>
        </w:tc>
        <w:tc>
          <w:tcPr>
            <w:tcW w:type="dxa" w:w="22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color w:val="212121"/>
                <w:sz w:val="18"/>
                <w:szCs w:val="18"/>
              </w:rPr>
              <w:t xml:space="preserve">TP_CALCULATOR</w:t>
            </w:r>
          </w:p>
        </w:tc>
        <w:tc>
          <w:tcPr>
            <w:tcW w:type="dxa" w:w="14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color w:val="212121"/>
                <w:sz w:val="18"/>
                <w:szCs w:val="18"/>
              </w:rPr>
              <w:t xml:space="preserve">Python</w:t>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212121"/>
                <w:sz w:val="18"/>
                <w:szCs w:val="18"/>
              </w:rPr>
              <w:t xml:space="preserve">No</w:t>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212121"/>
                <w:sz w:val="18"/>
                <w:szCs w:val="18"/>
              </w:rPr>
              <w:t xml:space="preserve">-</w:t>
            </w:r>
          </w:p>
        </w:tc>
        <w:tc>
          <w:tcPr>
            <w:tcW w:type="dxa" w:w="14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2E7D32"/>
                <w:sz w:val="18"/>
                <w:szCs w:val="18"/>
              </w:rPr>
              <w:t xml:space="preserve">~90%</w:t>
            </w:r>
          </w:p>
        </w:tc>
        <w:tc>
          <w:tcPr>
            <w:tcW w:type="dxa" w:w="14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212121"/>
                <w:sz w:val="18"/>
                <w:szCs w:val="18"/>
              </w:rPr>
              <w:t xml:space="preserve">Media</w:t>
            </w:r>
          </w:p>
        </w:tc>
      </w:tr>
      <w:tr>
        <w:tc>
          <w:tcPr>
            <w:tcW w:type="dxa" w:w="5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212121"/>
                <w:sz w:val="18"/>
                <w:szCs w:val="18"/>
              </w:rPr>
              <w:t xml:space="preserve">6</w:t>
            </w:r>
          </w:p>
        </w:tc>
        <w:tc>
          <w:tcPr>
            <w:tcW w:type="dxa" w:w="22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color w:val="212121"/>
                <w:sz w:val="18"/>
                <w:szCs w:val="18"/>
              </w:rPr>
              <w:t xml:space="preserve">TP_VALIDATOR</w:t>
            </w:r>
          </w:p>
        </w:tc>
        <w:tc>
          <w:tcPr>
            <w:tcW w:type="dxa" w:w="14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color w:val="212121"/>
                <w:sz w:val="18"/>
                <w:szCs w:val="18"/>
              </w:rPr>
              <w:t xml:space="preserve">Python</w:t>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212121"/>
                <w:sz w:val="18"/>
                <w:szCs w:val="18"/>
              </w:rPr>
              <w:t xml:space="preserve">No</w:t>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212121"/>
                <w:sz w:val="18"/>
                <w:szCs w:val="18"/>
              </w:rPr>
              <w:t xml:space="preserve">-</w:t>
            </w:r>
          </w:p>
        </w:tc>
        <w:tc>
          <w:tcPr>
            <w:tcW w:type="dxa" w:w="14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212121"/>
                <w:sz w:val="18"/>
                <w:szCs w:val="18"/>
              </w:rPr>
              <w:t xml:space="preserve">~85%</w:t>
            </w:r>
          </w:p>
        </w:tc>
        <w:tc>
          <w:tcPr>
            <w:tcW w:type="dxa" w:w="14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212121"/>
                <w:sz w:val="18"/>
                <w:szCs w:val="18"/>
              </w:rPr>
              <w:t xml:space="preserve">Alta</w:t>
            </w:r>
          </w:p>
        </w:tc>
      </w:tr>
      <w:tr>
        <w:tc>
          <w:tcPr>
            <w:tcW w:type="dxa" w:w="5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212121"/>
                <w:sz w:val="18"/>
                <w:szCs w:val="18"/>
              </w:rPr>
              <w:t xml:space="preserve">7</w:t>
            </w:r>
          </w:p>
        </w:tc>
        <w:tc>
          <w:tcPr>
            <w:tcW w:type="dxa" w:w="22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color w:val="212121"/>
                <w:sz w:val="18"/>
                <w:szCs w:val="18"/>
              </w:rPr>
              <w:t xml:space="preserve">IMPLIED</w:t>
            </w:r>
          </w:p>
        </w:tc>
        <w:tc>
          <w:tcPr>
            <w:tcW w:type="dxa" w:w="14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color w:val="212121"/>
                <w:sz w:val="18"/>
                <w:szCs w:val="18"/>
              </w:rPr>
              <w:t xml:space="preserve">LLM</w:t>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212121"/>
                <w:sz w:val="18"/>
                <w:szCs w:val="18"/>
              </w:rPr>
              <w:t xml:space="preserve">No</w:t>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212121"/>
                <w:sz w:val="18"/>
                <w:szCs w:val="18"/>
              </w:rPr>
              <w:t xml:space="preserve">3600s</w:t>
            </w:r>
          </w:p>
        </w:tc>
        <w:tc>
          <w:tcPr>
            <w:tcW w:type="dxa" w:w="14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E65100"/>
                <w:sz w:val="18"/>
                <w:szCs w:val="18"/>
              </w:rPr>
              <w:t xml:space="preserve">75%</w:t>
            </w:r>
          </w:p>
        </w:tc>
        <w:tc>
          <w:tcPr>
            <w:tcW w:type="dxa" w:w="14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212121"/>
                <w:sz w:val="18"/>
                <w:szCs w:val="18"/>
              </w:rPr>
              <w:t xml:space="preserve">Alta</w:t>
            </w:r>
          </w:p>
        </w:tc>
      </w:tr>
      <w:tr>
        <w:tc>
          <w:tcPr>
            <w:tcW w:type="dxa" w:w="5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212121"/>
                <w:sz w:val="18"/>
                <w:szCs w:val="18"/>
              </w:rPr>
              <w:t xml:space="preserve">8</w:t>
            </w:r>
          </w:p>
        </w:tc>
        <w:tc>
          <w:tcPr>
            <w:tcW w:type="dxa" w:w="22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color w:val="212121"/>
                <w:sz w:val="18"/>
                <w:szCs w:val="18"/>
              </w:rPr>
              <w:t xml:space="preserve">CATALYST_DETECTION</w:t>
            </w:r>
          </w:p>
        </w:tc>
        <w:tc>
          <w:tcPr>
            <w:tcW w:type="dxa" w:w="14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color w:val="212121"/>
                <w:sz w:val="18"/>
                <w:szCs w:val="18"/>
              </w:rPr>
              <w:t xml:space="preserve">LLM</w:t>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b/>
                <w:bCs/>
                <w:color w:val="212121"/>
                <w:sz w:val="18"/>
                <w:szCs w:val="18"/>
              </w:rPr>
              <w:t xml:space="preserve">Sí (3x)</w:t>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212121"/>
                <w:sz w:val="18"/>
                <w:szCs w:val="18"/>
              </w:rPr>
              <w:t xml:space="preserve">3600s</w:t>
            </w:r>
          </w:p>
        </w:tc>
        <w:tc>
          <w:tcPr>
            <w:tcW w:type="dxa" w:w="14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212121"/>
                <w:sz w:val="18"/>
                <w:szCs w:val="18"/>
              </w:rPr>
              <w:t xml:space="preserve">85.7%</w:t>
            </w:r>
          </w:p>
        </w:tc>
        <w:tc>
          <w:tcPr>
            <w:tcW w:type="dxa" w:w="14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212121"/>
                <w:sz w:val="18"/>
                <w:szCs w:val="18"/>
              </w:rPr>
              <w:t xml:space="preserve">Alta</w:t>
            </w:r>
          </w:p>
        </w:tc>
      </w:tr>
      <w:tr>
        <w:tc>
          <w:tcPr>
            <w:tcW w:type="dxa" w:w="5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212121"/>
                <w:sz w:val="18"/>
                <w:szCs w:val="18"/>
              </w:rPr>
              <w:t xml:space="preserve">9</w:t>
            </w:r>
          </w:p>
        </w:tc>
        <w:tc>
          <w:tcPr>
            <w:tcW w:type="dxa" w:w="22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color w:val="212121"/>
                <w:sz w:val="18"/>
                <w:szCs w:val="18"/>
              </w:rPr>
              <w:t xml:space="preserve">CATALYST_SCORING</w:t>
            </w:r>
          </w:p>
        </w:tc>
        <w:tc>
          <w:tcPr>
            <w:tcW w:type="dxa" w:w="14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color w:val="212121"/>
                <w:sz w:val="18"/>
                <w:szCs w:val="18"/>
              </w:rPr>
              <w:t xml:space="preserve">LLM</w:t>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b/>
                <w:bCs/>
                <w:color w:val="212121"/>
                <w:sz w:val="18"/>
                <w:szCs w:val="18"/>
              </w:rPr>
              <w:t xml:space="preserve">Sí (3x)</w:t>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212121"/>
                <w:sz w:val="18"/>
                <w:szCs w:val="18"/>
              </w:rPr>
              <w:t xml:space="preserve">3600s</w:t>
            </w:r>
          </w:p>
        </w:tc>
        <w:tc>
          <w:tcPr>
            <w:tcW w:type="dxa" w:w="14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2E7D32"/>
                <w:sz w:val="18"/>
                <w:szCs w:val="18"/>
              </w:rPr>
              <w:t xml:space="preserve">~90%</w:t>
            </w:r>
          </w:p>
        </w:tc>
        <w:tc>
          <w:tcPr>
            <w:tcW w:type="dxa" w:w="14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212121"/>
                <w:sz w:val="18"/>
                <w:szCs w:val="18"/>
              </w:rPr>
              <w:t xml:space="preserve">Alta</w:t>
            </w:r>
          </w:p>
        </w:tc>
      </w:tr>
      <w:tr>
        <w:tc>
          <w:tcPr>
            <w:tcW w:type="dxa" w:w="5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212121"/>
                <w:sz w:val="18"/>
                <w:szCs w:val="18"/>
              </w:rPr>
              <w:t xml:space="preserve">10</w:t>
            </w:r>
          </w:p>
        </w:tc>
        <w:tc>
          <w:tcPr>
            <w:tcW w:type="dxa" w:w="22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color w:val="212121"/>
                <w:sz w:val="18"/>
                <w:szCs w:val="18"/>
              </w:rPr>
              <w:t xml:space="preserve">FORENSIC_DETECTION</w:t>
            </w:r>
          </w:p>
        </w:tc>
        <w:tc>
          <w:tcPr>
            <w:tcW w:type="dxa" w:w="14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color w:val="212121"/>
                <w:sz w:val="18"/>
                <w:szCs w:val="18"/>
              </w:rPr>
              <w:t xml:space="preserve">LLM/Paralelo</w:t>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b/>
                <w:bCs/>
                <w:color w:val="212121"/>
                <w:sz w:val="18"/>
                <w:szCs w:val="18"/>
              </w:rPr>
              <w:t xml:space="preserve">Sí (3x)</w:t>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212121"/>
                <w:sz w:val="18"/>
                <w:szCs w:val="18"/>
              </w:rPr>
              <w:t xml:space="preserve">3600s</w:t>
            </w:r>
          </w:p>
        </w:tc>
        <w:tc>
          <w:tcPr>
            <w:tcW w:type="dxa" w:w="14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212121"/>
                <w:sz w:val="18"/>
                <w:szCs w:val="18"/>
              </w:rPr>
              <w:t xml:space="preserve">85.7%</w:t>
            </w:r>
          </w:p>
        </w:tc>
        <w:tc>
          <w:tcPr>
            <w:tcW w:type="dxa" w:w="14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212121"/>
                <w:sz w:val="18"/>
                <w:szCs w:val="18"/>
              </w:rPr>
              <w:t xml:space="preserve">Alta</w:t>
            </w:r>
          </w:p>
        </w:tc>
      </w:tr>
      <w:tr>
        <w:tc>
          <w:tcPr>
            <w:tcW w:type="dxa" w:w="5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212121"/>
                <w:sz w:val="18"/>
                <w:szCs w:val="18"/>
              </w:rPr>
              <w:t xml:space="preserve">11</w:t>
            </w:r>
          </w:p>
        </w:tc>
        <w:tc>
          <w:tcPr>
            <w:tcW w:type="dxa" w:w="22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color w:val="212121"/>
                <w:sz w:val="18"/>
                <w:szCs w:val="18"/>
              </w:rPr>
              <w:t xml:space="preserve">FORENSIC_SCORING</w:t>
            </w:r>
          </w:p>
        </w:tc>
        <w:tc>
          <w:tcPr>
            <w:tcW w:type="dxa" w:w="14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color w:val="212121"/>
                <w:sz w:val="18"/>
                <w:szCs w:val="18"/>
              </w:rPr>
              <w:t xml:space="preserve">LLM</w:t>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b/>
                <w:bCs/>
                <w:color w:val="212121"/>
                <w:sz w:val="18"/>
                <w:szCs w:val="18"/>
              </w:rPr>
              <w:t xml:space="preserve">Sí (3x)</w:t>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212121"/>
                <w:sz w:val="18"/>
                <w:szCs w:val="18"/>
              </w:rPr>
              <w:t xml:space="preserve">3600s</w:t>
            </w:r>
          </w:p>
        </w:tc>
        <w:tc>
          <w:tcPr>
            <w:tcW w:type="dxa" w:w="14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2E7D32"/>
                <w:sz w:val="18"/>
                <w:szCs w:val="18"/>
              </w:rPr>
              <w:t xml:space="preserve">~90%</w:t>
            </w:r>
          </w:p>
        </w:tc>
        <w:tc>
          <w:tcPr>
            <w:tcW w:type="dxa" w:w="14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212121"/>
                <w:sz w:val="18"/>
                <w:szCs w:val="18"/>
              </w:rPr>
              <w:t xml:space="preserve">Alta</w:t>
            </w:r>
          </w:p>
        </w:tc>
      </w:tr>
      <w:tr>
        <w:tc>
          <w:tcPr>
            <w:tcW w:type="dxa" w:w="5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212121"/>
                <w:sz w:val="18"/>
                <w:szCs w:val="18"/>
              </w:rPr>
              <w:t xml:space="preserve">12</w:t>
            </w:r>
          </w:p>
        </w:tc>
        <w:tc>
          <w:tcPr>
            <w:tcW w:type="dxa" w:w="22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color w:val="212121"/>
                <w:sz w:val="18"/>
                <w:szCs w:val="18"/>
              </w:rPr>
              <w:t xml:space="preserve">BULL</w:t>
            </w:r>
          </w:p>
        </w:tc>
        <w:tc>
          <w:tcPr>
            <w:tcW w:type="dxa" w:w="14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color w:val="212121"/>
                <w:sz w:val="18"/>
                <w:szCs w:val="18"/>
              </w:rPr>
              <w:t xml:space="preserve">LLM</w:t>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b/>
                <w:bCs/>
                <w:color w:val="212121"/>
                <w:sz w:val="18"/>
                <w:szCs w:val="18"/>
              </w:rPr>
              <w:t xml:space="preserve">Sí (3x)</w:t>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212121"/>
                <w:sz w:val="18"/>
                <w:szCs w:val="18"/>
              </w:rPr>
              <w:t xml:space="preserve">3600s</w:t>
            </w:r>
          </w:p>
        </w:tc>
        <w:tc>
          <w:tcPr>
            <w:tcW w:type="dxa" w:w="14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2E7D32"/>
                <w:sz w:val="18"/>
                <w:szCs w:val="18"/>
              </w:rPr>
              <w:t xml:space="preserve">100%</w:t>
            </w:r>
          </w:p>
        </w:tc>
        <w:tc>
          <w:tcPr>
            <w:tcW w:type="dxa" w:w="14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212121"/>
                <w:sz w:val="18"/>
                <w:szCs w:val="18"/>
              </w:rPr>
              <w:t xml:space="preserve">Alta</w:t>
            </w:r>
          </w:p>
        </w:tc>
      </w:tr>
      <w:tr>
        <w:tc>
          <w:tcPr>
            <w:tcW w:type="dxa" w:w="5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212121"/>
                <w:sz w:val="18"/>
                <w:szCs w:val="18"/>
              </w:rPr>
              <w:t xml:space="preserve">13</w:t>
            </w:r>
          </w:p>
        </w:tc>
        <w:tc>
          <w:tcPr>
            <w:tcW w:type="dxa" w:w="22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color w:val="212121"/>
                <w:sz w:val="18"/>
                <w:szCs w:val="18"/>
              </w:rPr>
              <w:t xml:space="preserve">RED_TEAM</w:t>
            </w:r>
          </w:p>
        </w:tc>
        <w:tc>
          <w:tcPr>
            <w:tcW w:type="dxa" w:w="14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color w:val="212121"/>
                <w:sz w:val="18"/>
                <w:szCs w:val="18"/>
              </w:rPr>
              <w:t xml:space="preserve">LLM</w:t>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b/>
                <w:bCs/>
                <w:color w:val="212121"/>
                <w:sz w:val="18"/>
                <w:szCs w:val="18"/>
              </w:rPr>
              <w:t xml:space="preserve">Sí (3x)</w:t>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212121"/>
                <w:sz w:val="18"/>
                <w:szCs w:val="18"/>
              </w:rPr>
              <w:t xml:space="preserve">3600s</w:t>
            </w:r>
          </w:p>
        </w:tc>
        <w:tc>
          <w:tcPr>
            <w:tcW w:type="dxa" w:w="14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2E7D32"/>
                <w:sz w:val="18"/>
                <w:szCs w:val="18"/>
              </w:rPr>
              <w:t xml:space="preserve">100%</w:t>
            </w:r>
          </w:p>
        </w:tc>
        <w:tc>
          <w:tcPr>
            <w:tcW w:type="dxa" w:w="14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212121"/>
                <w:sz w:val="18"/>
                <w:szCs w:val="18"/>
              </w:rPr>
              <w:t xml:space="preserve">Alta</w:t>
            </w:r>
          </w:p>
        </w:tc>
      </w:tr>
      <w:tr>
        <w:tc>
          <w:tcPr>
            <w:tcW w:type="dxa" w:w="5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212121"/>
                <w:sz w:val="18"/>
                <w:szCs w:val="18"/>
              </w:rPr>
              <w:t xml:space="preserve">14</w:t>
            </w:r>
          </w:p>
        </w:tc>
        <w:tc>
          <w:tcPr>
            <w:tcW w:type="dxa" w:w="22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color w:val="212121"/>
                <w:sz w:val="18"/>
                <w:szCs w:val="18"/>
              </w:rPr>
              <w:t xml:space="preserve">ARBITRO</w:t>
            </w:r>
          </w:p>
        </w:tc>
        <w:tc>
          <w:tcPr>
            <w:tcW w:type="dxa" w:w="14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color w:val="212121"/>
                <w:sz w:val="18"/>
                <w:szCs w:val="18"/>
              </w:rPr>
              <w:t xml:space="preserve">LLM</w:t>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b/>
                <w:bCs/>
                <w:color w:val="212121"/>
                <w:sz w:val="18"/>
                <w:szCs w:val="18"/>
              </w:rPr>
              <w:t xml:space="preserve">Sí (2x fusión)</w:t>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212121"/>
                <w:sz w:val="18"/>
                <w:szCs w:val="18"/>
              </w:rPr>
              <w:t xml:space="preserve">3600s</w:t>
            </w:r>
          </w:p>
        </w:tc>
        <w:tc>
          <w:tcPr>
            <w:tcW w:type="dxa" w:w="14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2E7D32"/>
                <w:sz w:val="18"/>
                <w:szCs w:val="18"/>
              </w:rPr>
              <w:t xml:space="preserve">100%</w:t>
            </w:r>
          </w:p>
        </w:tc>
        <w:tc>
          <w:tcPr>
            <w:tcW w:type="dxa" w:w="14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C62828"/>
                <w:sz w:val="18"/>
                <w:szCs w:val="18"/>
              </w:rPr>
              <w:t xml:space="preserve">Crítica</w:t>
            </w:r>
          </w:p>
        </w:tc>
      </w:tr>
      <w:tr>
        <w:tc>
          <w:tcPr>
            <w:tcW w:type="dxa" w:w="5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212121"/>
                <w:sz w:val="18"/>
                <w:szCs w:val="18"/>
              </w:rPr>
              <w:t xml:space="preserve">15</w:t>
            </w:r>
          </w:p>
        </w:tc>
        <w:tc>
          <w:tcPr>
            <w:tcW w:type="dxa" w:w="22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color w:val="212121"/>
                <w:sz w:val="18"/>
                <w:szCs w:val="18"/>
              </w:rPr>
              <w:t xml:space="preserve">QUALITY_AUDIT</w:t>
            </w:r>
          </w:p>
        </w:tc>
        <w:tc>
          <w:tcPr>
            <w:tcW w:type="dxa" w:w="14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color w:val="212121"/>
                <w:sz w:val="18"/>
                <w:szCs w:val="18"/>
              </w:rPr>
              <w:t xml:space="preserve">Python</w:t>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212121"/>
                <w:sz w:val="18"/>
                <w:szCs w:val="18"/>
              </w:rPr>
              <w:t xml:space="preserve">No</w:t>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212121"/>
                <w:sz w:val="18"/>
                <w:szCs w:val="18"/>
              </w:rPr>
              <w:t xml:space="preserve">-</w:t>
            </w:r>
          </w:p>
        </w:tc>
        <w:tc>
          <w:tcPr>
            <w:tcW w:type="dxa" w:w="14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2E7D32"/>
                <w:sz w:val="18"/>
                <w:szCs w:val="18"/>
              </w:rPr>
              <w:t xml:space="preserve">100%</w:t>
            </w:r>
          </w:p>
        </w:tc>
        <w:tc>
          <w:tcPr>
            <w:tcW w:type="dxa" w:w="14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212121"/>
                <w:sz w:val="18"/>
                <w:szCs w:val="18"/>
              </w:rPr>
              <w:t xml:space="preserve">Media</w:t>
            </w:r>
          </w:p>
        </w:tc>
      </w:tr>
    </w:tbl>
    <w:p>
      <w:pPr>
        <w:spacing w:after="120"/>
      </w:pPr>
      <w:r>
        <w:rPr>
          <w:rFonts w:ascii="Arial" w:cs="Arial" w:eastAsia="Arial" w:hAnsi="Arial"/>
          <w:color w:val="212121"/>
          <w:sz w:val="22"/>
          <w:szCs w:val="22"/>
        </w:rPr>
        <w:t xml:space="preserve"/>
      </w:r>
    </w:p>
    <w:p>
      <w:pPr>
        <w:spacing w:after="120"/>
      </w:pPr>
      <w:r>
        <w:rPr>
          <w:rFonts w:ascii="Arial" w:cs="Arial" w:eastAsia="Arial" w:hAnsi="Arial"/>
          <w:color w:val="212121"/>
          <w:sz w:val="20"/>
          <w:szCs w:val="20"/>
        </w:rPr>
        <w:t xml:space="preserve">El cuello de botella principal es TP_EXTRACTOR_FILING con solo 53.8% de tasa de éxito. Este paso procesa cada filing SEC individualmente con un LLM y es el punto donde más frecuentemente fallan las ejecuciones por problemas de parsing JSON, timeouts o datos incompletos en el documento fuente.</w:t>
      </w:r>
    </w:p>
    <w:p>
      <w:pPr>
        <w:pStyle w:val="Heading2"/>
      </w:pPr>
      <w:r>
        <w:rPr>
          <w:rFonts w:ascii="Arial" w:cs="Arial" w:eastAsia="Arial" w:hAnsi="Arial"/>
        </w:rPr>
        <w:t xml:space="preserve">2.2 Backends de Modelos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Modelo</w:t>
            </w:r>
          </w:p>
        </w:tc>
        <w:tc>
          <w:tcPr>
            <w:tcW w:type="dxa" w:w="234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Transporte</w:t>
            </w:r>
          </w:p>
        </w:tc>
        <w:tc>
          <w:tcPr>
            <w:tcW w:type="dxa" w:w="234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Fortaleza</w:t>
            </w:r>
          </w:p>
        </w:tc>
        <w:tc>
          <w:tcPr>
            <w:tcW w:type="dxa" w:w="234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Debilidad</w:t>
            </w:r>
          </w:p>
        </w:tc>
      </w:tr>
      <w:tr>
        <w:tc>
          <w:tcPr>
            <w:tcW w:type="dxa" w:w="234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bCs/>
                <w:color w:val="212121"/>
                <w:sz w:val="18"/>
                <w:szCs w:val="18"/>
              </w:rPr>
              <w:t xml:space="preserve">GPT-5.3 Codex</w:t>
            </w:r>
          </w:p>
        </w:tc>
        <w:tc>
          <w:tcPr>
            <w:tcW w:type="dxa" w:w="234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color w:val="212121"/>
                <w:sz w:val="18"/>
                <w:szCs w:val="18"/>
              </w:rPr>
              <w:t xml:space="preserve">CLI codex / copilot</w:t>
            </w:r>
          </w:p>
        </w:tc>
        <w:tc>
          <w:tcPr>
            <w:tcW w:type="dxa" w:w="234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color w:val="2E7D32"/>
                <w:sz w:val="18"/>
                <w:szCs w:val="18"/>
              </w:rPr>
              <w:t xml:space="preserve">Mejor en ARBITRO (96.65%)</w:t>
            </w:r>
          </w:p>
        </w:tc>
        <w:tc>
          <w:tcPr>
            <w:tcW w:type="dxa" w:w="234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color w:val="212121"/>
                <w:sz w:val="18"/>
                <w:szCs w:val="18"/>
              </w:rPr>
              <w:t xml:space="preserve">Outlier raro en FORENSIC</w:t>
            </w:r>
          </w:p>
        </w:tc>
      </w:tr>
      <w:tr>
        <w:tc>
          <w:tcPr>
            <w:tcW w:type="dxa" w:w="234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bCs/>
                <w:color w:val="212121"/>
                <w:sz w:val="18"/>
                <w:szCs w:val="18"/>
              </w:rPr>
              <w:t xml:space="preserve">Claude Opus 4.6</w:t>
            </w:r>
          </w:p>
        </w:tc>
        <w:tc>
          <w:tcPr>
            <w:tcW w:type="dxa" w:w="234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color w:val="212121"/>
                <w:sz w:val="18"/>
                <w:szCs w:val="18"/>
              </w:rPr>
              <w:t xml:space="preserve">CLI claude / copilot</w:t>
            </w:r>
          </w:p>
        </w:tc>
        <w:tc>
          <w:tcPr>
            <w:tcW w:type="dxa" w:w="234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color w:val="2E7D32"/>
                <w:sz w:val="18"/>
                <w:szCs w:val="18"/>
              </w:rPr>
              <w:t xml:space="preserve">Más consistente globalmente</w:t>
            </w:r>
          </w:p>
        </w:tc>
        <w:tc>
          <w:tcPr>
            <w:tcW w:type="dxa" w:w="234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color w:val="C62828"/>
                <w:sz w:val="18"/>
                <w:szCs w:val="18"/>
              </w:rPr>
              <w:t xml:space="preserve">33% fallos en ARBITRO</w:t>
            </w:r>
          </w:p>
        </w:tc>
      </w:tr>
      <w:tr>
        <w:tc>
          <w:tcPr>
            <w:tcW w:type="dxa" w:w="234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bCs/>
                <w:color w:val="212121"/>
                <w:sz w:val="18"/>
                <w:szCs w:val="18"/>
              </w:rPr>
              <w:t xml:space="preserve">Gemini 3 Pro</w:t>
            </w:r>
          </w:p>
        </w:tc>
        <w:tc>
          <w:tcPr>
            <w:tcW w:type="dxa" w:w="234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color w:val="212121"/>
                <w:sz w:val="18"/>
                <w:szCs w:val="18"/>
              </w:rPr>
              <w:t xml:space="preserve">CLI gemini / copilot</w:t>
            </w:r>
          </w:p>
        </w:tc>
        <w:tc>
          <w:tcPr>
            <w:tcW w:type="dxa" w:w="234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color w:val="2E7D32"/>
                <w:sz w:val="18"/>
                <w:szCs w:val="18"/>
              </w:rPr>
              <w:t xml:space="preserve">Mejor en scoring</w:t>
            </w:r>
          </w:p>
        </w:tc>
        <w:tc>
          <w:tcPr>
            <w:tcW w:type="dxa" w:w="234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color w:val="C62828"/>
                <w:sz w:val="18"/>
                <w:szCs w:val="18"/>
              </w:rPr>
              <w:t xml:space="preserve">Rate limiting (429)</w:t>
            </w:r>
          </w:p>
        </w:tc>
      </w:tr>
    </w:tbl>
    <w:p>
      <w:r>
        <w:br w:type="page"/>
      </w:r>
    </w:p>
    <w:p>
      <w:pPr>
        <w:pStyle w:val="Heading1"/>
      </w:pPr>
      <w:r>
        <w:rPr>
          <w:rFonts w:ascii="Arial" w:cs="Arial" w:eastAsia="Arial" w:hAnsi="Arial"/>
        </w:rPr>
        <w:t xml:space="preserve">3. RADIOGRAFÍA DE CASOS EJECUTADOS</w:t>
      </w:r>
    </w:p>
    <w:p>
      <w:pPr>
        <w:pStyle w:val="Heading2"/>
      </w:pPr>
      <w:r>
        <w:rPr>
          <w:rFonts w:ascii="Arial" w:cs="Arial" w:eastAsia="Arial" w:hAnsi="Arial"/>
        </w:rPr>
        <w:t xml:space="preserve">3.1 Casos Completados (8 de 14)</w:t>
      </w:r>
    </w:p>
    <w:p>
      <w:pPr>
        <w:spacing w:after="120"/>
      </w:pPr>
      <w:r>
        <w:rPr>
          <w:rFonts w:ascii="Arial" w:cs="Arial" w:eastAsia="Arial" w:hAnsi="Arial"/>
          <w:color w:val="212121"/>
          <w:sz w:val="22"/>
          <w:szCs w:val="22"/>
        </w:rPr>
        <w:t xml:space="preserve">Todos los casos completados recibieron veredicto WATCHLIST, indicando que las empresas merecen seguimiento pero carecen de catalizadores suficientes para inversión inmediata.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300"/>
        <w:gridCol w:w="900"/>
        <w:gridCol w:w="1100"/>
        <w:gridCol w:w="1100"/>
        <w:gridCol w:w="1060"/>
        <w:gridCol w:w="1500"/>
        <w:gridCol w:w="1500"/>
      </w:tblGrid>
      <w:tr>
        <w:tc>
          <w:tcPr>
            <w:tcW w:type="dxa" w:w="9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Ticker</w:t>
            </w:r>
          </w:p>
        </w:tc>
        <w:tc>
          <w:tcPr>
            <w:tcW w:type="dxa" w:w="13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Empresa</w:t>
            </w:r>
          </w:p>
        </w:tc>
        <w:tc>
          <w:tcPr>
            <w:tcW w:type="dxa" w:w="9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País</w:t>
            </w:r>
          </w:p>
        </w:tc>
        <w:tc>
          <w:tcPr>
            <w:tcW w:type="dxa" w:w="11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Decisión</w:t>
            </w:r>
          </w:p>
        </w:tc>
        <w:tc>
          <w:tcPr>
            <w:tcW w:type="dxa" w:w="11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Conf.</w:t>
            </w:r>
          </w:p>
        </w:tc>
        <w:tc>
          <w:tcPr>
            <w:tcW w:type="dxa" w:w="106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Score</w:t>
            </w:r>
          </w:p>
        </w:tc>
        <w:tc>
          <w:tcPr>
            <w:tcW w:type="dxa" w:w="15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Bloqueador</w:t>
            </w:r>
          </w:p>
        </w:tc>
        <w:tc>
          <w:tcPr>
            <w:tcW w:type="dxa" w:w="15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Trigger Upgrade</w:t>
            </w:r>
          </w:p>
        </w:tc>
      </w:tr>
      <w:tr>
        <w:tc>
          <w:tcPr>
            <w:tcW w:type="dxa" w:w="9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bCs/>
                <w:color w:val="212121"/>
                <w:sz w:val="18"/>
                <w:szCs w:val="18"/>
              </w:rPr>
              <w:t xml:space="preserve">0327</w:t>
            </w:r>
          </w:p>
        </w:tc>
        <w:tc>
          <w:tcPr>
            <w:tcW w:type="dxa" w:w="13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color w:val="212121"/>
                <w:sz w:val="18"/>
                <w:szCs w:val="18"/>
              </w:rPr>
              <w:t xml:space="preserve">PAX Global</w:t>
            </w:r>
          </w:p>
        </w:tc>
        <w:tc>
          <w:tcPr>
            <w:tcW w:type="dxa" w:w="9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212121"/>
                <w:sz w:val="18"/>
                <w:szCs w:val="18"/>
              </w:rPr>
              <w:t xml:space="preserve">HK</w:t>
            </w:r>
          </w:p>
        </w:tc>
        <w:tc>
          <w:tcPr>
            <w:tcW w:type="dxa" w:w="11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E65100"/>
                <w:sz w:val="18"/>
                <w:szCs w:val="18"/>
              </w:rPr>
              <w:t xml:space="preserve">WATCHLIST</w:t>
            </w:r>
          </w:p>
        </w:tc>
        <w:tc>
          <w:tcPr>
            <w:tcW w:type="dxa" w:w="11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212121"/>
                <w:sz w:val="18"/>
                <w:szCs w:val="18"/>
              </w:rPr>
              <w:t xml:space="preserve">0.75</w:t>
            </w:r>
          </w:p>
        </w:tc>
        <w:tc>
          <w:tcPr>
            <w:tcW w:type="dxa" w:w="10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212121"/>
                <w:sz w:val="18"/>
                <w:szCs w:val="18"/>
              </w:rPr>
              <w:t xml:space="preserve">67</w:t>
            </w:r>
          </w:p>
        </w:tc>
        <w:tc>
          <w:tcPr>
            <w:tcW w:type="dxa" w:w="15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color w:val="212121"/>
                <w:sz w:val="18"/>
                <w:szCs w:val="18"/>
              </w:rPr>
              <w:t xml:space="preserve">Value trap (p=0.58)</w:t>
            </w:r>
          </w:p>
        </w:tc>
        <w:tc>
          <w:tcPr>
            <w:tcW w:type="dxa" w:w="15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color w:val="212121"/>
                <w:sz w:val="18"/>
                <w:szCs w:val="18"/>
              </w:rPr>
              <w:t xml:space="preserve">Rev. estabilización</w:t>
            </w:r>
          </w:p>
        </w:tc>
      </w:tr>
      <w:tr>
        <w:tc>
          <w:tcPr>
            <w:tcW w:type="dxa" w:w="9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bCs/>
                <w:color w:val="212121"/>
                <w:sz w:val="18"/>
                <w:szCs w:val="18"/>
              </w:rPr>
              <w:t xml:space="preserve">ACVA</w:t>
            </w:r>
          </w:p>
        </w:tc>
        <w:tc>
          <w:tcPr>
            <w:tcW w:type="dxa" w:w="13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color w:val="212121"/>
                <w:sz w:val="18"/>
                <w:szCs w:val="18"/>
              </w:rPr>
              <w:t xml:space="preserve">ACV Auctions</w:t>
            </w:r>
          </w:p>
        </w:tc>
        <w:tc>
          <w:tcPr>
            <w:tcW w:type="dxa" w:w="9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212121"/>
                <w:sz w:val="18"/>
                <w:szCs w:val="18"/>
              </w:rPr>
              <w:t xml:space="preserve">US</w:t>
            </w:r>
          </w:p>
        </w:tc>
        <w:tc>
          <w:tcPr>
            <w:tcW w:type="dxa" w:w="11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E65100"/>
                <w:sz w:val="18"/>
                <w:szCs w:val="18"/>
              </w:rPr>
              <w:t xml:space="preserve">WATCHLIST</w:t>
            </w:r>
          </w:p>
        </w:tc>
        <w:tc>
          <w:tcPr>
            <w:tcW w:type="dxa" w:w="11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C62828"/>
                <w:sz w:val="18"/>
                <w:szCs w:val="18"/>
              </w:rPr>
              <w:t xml:space="preserve">0.50</w:t>
            </w:r>
          </w:p>
        </w:tc>
        <w:tc>
          <w:tcPr>
            <w:tcW w:type="dxa" w:w="10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C62828"/>
                <w:sz w:val="18"/>
                <w:szCs w:val="18"/>
              </w:rPr>
              <w:t xml:space="preserve">51</w:t>
            </w:r>
          </w:p>
        </w:tc>
        <w:tc>
          <w:tcPr>
            <w:tcW w:type="dxa" w:w="15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color w:val="212121"/>
                <w:sz w:val="18"/>
                <w:szCs w:val="18"/>
              </w:rPr>
              <w:t xml:space="preserve">SBC no divulgado</w:t>
            </w:r>
          </w:p>
        </w:tc>
        <w:tc>
          <w:tcPr>
            <w:tcW w:type="dxa" w:w="15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color w:val="212121"/>
                <w:sz w:val="18"/>
                <w:szCs w:val="18"/>
              </w:rPr>
              <w:t xml:space="preserve">SBC &lt;$70M en 10-K</w:t>
            </w:r>
          </w:p>
        </w:tc>
      </w:tr>
      <w:tr>
        <w:tc>
          <w:tcPr>
            <w:tcW w:type="dxa" w:w="9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bCs/>
                <w:color w:val="212121"/>
                <w:sz w:val="18"/>
                <w:szCs w:val="18"/>
              </w:rPr>
              <w:t xml:space="preserve">IOSP</w:t>
            </w:r>
          </w:p>
        </w:tc>
        <w:tc>
          <w:tcPr>
            <w:tcW w:type="dxa" w:w="13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color w:val="212121"/>
                <w:sz w:val="18"/>
                <w:szCs w:val="18"/>
              </w:rPr>
              <w:t xml:space="preserve">Innospec</w:t>
            </w:r>
          </w:p>
        </w:tc>
        <w:tc>
          <w:tcPr>
            <w:tcW w:type="dxa" w:w="9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212121"/>
                <w:sz w:val="18"/>
                <w:szCs w:val="18"/>
              </w:rPr>
              <w:t xml:space="preserve">US</w:t>
            </w:r>
          </w:p>
        </w:tc>
        <w:tc>
          <w:tcPr>
            <w:tcW w:type="dxa" w:w="11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E65100"/>
                <w:sz w:val="18"/>
                <w:szCs w:val="18"/>
              </w:rPr>
              <w:t xml:space="preserve">WATCHLIST</w:t>
            </w:r>
          </w:p>
        </w:tc>
        <w:tc>
          <w:tcPr>
            <w:tcW w:type="dxa" w:w="11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212121"/>
                <w:sz w:val="18"/>
                <w:szCs w:val="18"/>
              </w:rPr>
              <w:t xml:space="preserve">0.58</w:t>
            </w:r>
          </w:p>
        </w:tc>
        <w:tc>
          <w:tcPr>
            <w:tcW w:type="dxa" w:w="10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212121"/>
                <w:sz w:val="18"/>
                <w:szCs w:val="18"/>
              </w:rPr>
              <w:t xml:space="preserve">60</w:t>
            </w:r>
          </w:p>
        </w:tc>
        <w:tc>
          <w:tcPr>
            <w:tcW w:type="dxa" w:w="15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color w:val="212121"/>
                <w:sz w:val="18"/>
                <w:szCs w:val="18"/>
              </w:rPr>
              <w:t xml:space="preserve">Margen cíclico</w:t>
            </w:r>
          </w:p>
        </w:tc>
        <w:tc>
          <w:tcPr>
            <w:tcW w:type="dxa" w:w="15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color w:val="212121"/>
                <w:sz w:val="18"/>
                <w:szCs w:val="18"/>
              </w:rPr>
              <w:t xml:space="preserve">Margen &gt;12%</w:t>
            </w:r>
          </w:p>
        </w:tc>
      </w:tr>
      <w:tr>
        <w:tc>
          <w:tcPr>
            <w:tcW w:type="dxa" w:w="9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bCs/>
                <w:color w:val="212121"/>
                <w:sz w:val="18"/>
                <w:szCs w:val="18"/>
              </w:rPr>
              <w:t xml:space="preserve">KAR</w:t>
            </w:r>
          </w:p>
        </w:tc>
        <w:tc>
          <w:tcPr>
            <w:tcW w:type="dxa" w:w="13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color w:val="212121"/>
                <w:sz w:val="18"/>
                <w:szCs w:val="18"/>
              </w:rPr>
              <w:t xml:space="preserve">Karoon Energy</w:t>
            </w:r>
          </w:p>
        </w:tc>
        <w:tc>
          <w:tcPr>
            <w:tcW w:type="dxa" w:w="9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212121"/>
                <w:sz w:val="18"/>
                <w:szCs w:val="18"/>
              </w:rPr>
              <w:t xml:space="preserve">AU</w:t>
            </w:r>
          </w:p>
        </w:tc>
        <w:tc>
          <w:tcPr>
            <w:tcW w:type="dxa" w:w="11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E65100"/>
                <w:sz w:val="18"/>
                <w:szCs w:val="18"/>
              </w:rPr>
              <w:t xml:space="preserve">WATCHLIST</w:t>
            </w:r>
          </w:p>
        </w:tc>
        <w:tc>
          <w:tcPr>
            <w:tcW w:type="dxa" w:w="11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212121"/>
                <w:sz w:val="18"/>
                <w:szCs w:val="18"/>
              </w:rPr>
              <w:t xml:space="preserve">0.58</w:t>
            </w:r>
          </w:p>
        </w:tc>
        <w:tc>
          <w:tcPr>
            <w:tcW w:type="dxa" w:w="10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212121"/>
                <w:sz w:val="18"/>
                <w:szCs w:val="18"/>
              </w:rPr>
              <w:t xml:space="preserve">57</w:t>
            </w:r>
          </w:p>
        </w:tc>
        <w:tc>
          <w:tcPr>
            <w:tcW w:type="dxa" w:w="15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color w:val="212121"/>
                <w:sz w:val="18"/>
                <w:szCs w:val="18"/>
              </w:rPr>
              <w:t xml:space="preserve">EBIT faltante</w:t>
            </w:r>
          </w:p>
        </w:tc>
        <w:tc>
          <w:tcPr>
            <w:tcW w:type="dxa" w:w="15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color w:val="212121"/>
                <w:sz w:val="18"/>
                <w:szCs w:val="18"/>
              </w:rPr>
              <w:t xml:space="preserve">Producción ramp</w:t>
            </w:r>
          </w:p>
        </w:tc>
      </w:tr>
      <w:tr>
        <w:tc>
          <w:tcPr>
            <w:tcW w:type="dxa" w:w="9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bCs/>
                <w:color w:val="212121"/>
                <w:sz w:val="18"/>
                <w:szCs w:val="18"/>
              </w:rPr>
              <w:t xml:space="preserve">NEXN</w:t>
            </w:r>
          </w:p>
        </w:tc>
        <w:tc>
          <w:tcPr>
            <w:tcW w:type="dxa" w:w="13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color w:val="212121"/>
                <w:sz w:val="18"/>
                <w:szCs w:val="18"/>
              </w:rPr>
              <w:t xml:space="preserve">Nexxen Int'l</w:t>
            </w:r>
          </w:p>
        </w:tc>
        <w:tc>
          <w:tcPr>
            <w:tcW w:type="dxa" w:w="9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212121"/>
                <w:sz w:val="18"/>
                <w:szCs w:val="18"/>
              </w:rPr>
              <w:t xml:space="preserve">IL</w:t>
            </w:r>
          </w:p>
        </w:tc>
        <w:tc>
          <w:tcPr>
            <w:tcW w:type="dxa" w:w="11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E65100"/>
                <w:sz w:val="18"/>
                <w:szCs w:val="18"/>
              </w:rPr>
              <w:t xml:space="preserve">WATCHLIST</w:t>
            </w:r>
          </w:p>
        </w:tc>
        <w:tc>
          <w:tcPr>
            <w:tcW w:type="dxa" w:w="11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212121"/>
                <w:sz w:val="18"/>
                <w:szCs w:val="18"/>
              </w:rPr>
              <w:t xml:space="preserve">0.55</w:t>
            </w:r>
          </w:p>
        </w:tc>
        <w:tc>
          <w:tcPr>
            <w:tcW w:type="dxa" w:w="10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212121"/>
                <w:sz w:val="18"/>
                <w:szCs w:val="18"/>
              </w:rPr>
              <w:t xml:space="preserve">64</w:t>
            </w:r>
          </w:p>
        </w:tc>
        <w:tc>
          <w:tcPr>
            <w:tcW w:type="dxa" w:w="15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color w:val="212121"/>
                <w:sz w:val="18"/>
                <w:szCs w:val="18"/>
              </w:rPr>
              <w:t xml:space="preserve">Asimetría baja 1.16x</w:t>
            </w:r>
          </w:p>
        </w:tc>
        <w:tc>
          <w:tcPr>
            <w:tcW w:type="dxa" w:w="15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color w:val="212121"/>
                <w:sz w:val="18"/>
                <w:szCs w:val="18"/>
              </w:rPr>
              <w:t xml:space="preserve">Margen &gt;20%</w:t>
            </w:r>
          </w:p>
        </w:tc>
      </w:tr>
      <w:tr>
        <w:tc>
          <w:tcPr>
            <w:tcW w:type="dxa" w:w="9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bCs/>
                <w:color w:val="212121"/>
                <w:sz w:val="18"/>
                <w:szCs w:val="18"/>
              </w:rPr>
              <w:t xml:space="preserve">SOM</w:t>
            </w:r>
          </w:p>
        </w:tc>
        <w:tc>
          <w:tcPr>
            <w:tcW w:type="dxa" w:w="13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color w:val="212121"/>
                <w:sz w:val="18"/>
                <w:szCs w:val="18"/>
              </w:rPr>
              <w:t xml:space="preserve">SOM Group</w:t>
            </w:r>
          </w:p>
        </w:tc>
        <w:tc>
          <w:tcPr>
            <w:tcW w:type="dxa" w:w="9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C62828"/>
                <w:sz w:val="18"/>
                <w:szCs w:val="18"/>
              </w:rPr>
              <w:t xml:space="preserve">GB*</w:t>
            </w:r>
          </w:p>
        </w:tc>
        <w:tc>
          <w:tcPr>
            <w:tcW w:type="dxa" w:w="11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E65100"/>
                <w:sz w:val="18"/>
                <w:szCs w:val="18"/>
              </w:rPr>
              <w:t xml:space="preserve">WATCHLIST</w:t>
            </w:r>
          </w:p>
        </w:tc>
        <w:tc>
          <w:tcPr>
            <w:tcW w:type="dxa" w:w="11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212121"/>
                <w:sz w:val="18"/>
                <w:szCs w:val="18"/>
              </w:rPr>
              <w:t xml:space="preserve">0.59</w:t>
            </w:r>
          </w:p>
        </w:tc>
        <w:tc>
          <w:tcPr>
            <w:tcW w:type="dxa" w:w="10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212121"/>
                <w:sz w:val="18"/>
                <w:szCs w:val="18"/>
              </w:rPr>
              <w:t xml:space="preserve">61</w:t>
            </w:r>
          </w:p>
        </w:tc>
        <w:tc>
          <w:tcPr>
            <w:tcW w:type="dxa" w:w="15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color w:val="212121"/>
                <w:sz w:val="18"/>
                <w:szCs w:val="18"/>
              </w:rPr>
              <w:t xml:space="preserve">Catalyst gate FAIL</w:t>
            </w:r>
          </w:p>
        </w:tc>
        <w:tc>
          <w:tcPr>
            <w:tcW w:type="dxa" w:w="15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color w:val="212121"/>
                <w:sz w:val="18"/>
                <w:szCs w:val="18"/>
              </w:rPr>
              <w:t xml:space="preserve">FY2025 auditado</w:t>
            </w:r>
          </w:p>
        </w:tc>
      </w:tr>
      <w:tr>
        <w:tc>
          <w:tcPr>
            <w:tcW w:type="dxa" w:w="9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bCs/>
                <w:color w:val="212121"/>
                <w:sz w:val="18"/>
                <w:szCs w:val="18"/>
              </w:rPr>
              <w:t xml:space="preserve">SONO</w:t>
            </w:r>
          </w:p>
        </w:tc>
        <w:tc>
          <w:tcPr>
            <w:tcW w:type="dxa" w:w="13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color w:val="212121"/>
                <w:sz w:val="18"/>
                <w:szCs w:val="18"/>
              </w:rPr>
              <w:t xml:space="preserve">Sonos</w:t>
            </w:r>
          </w:p>
        </w:tc>
        <w:tc>
          <w:tcPr>
            <w:tcW w:type="dxa" w:w="9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212121"/>
                <w:sz w:val="18"/>
                <w:szCs w:val="18"/>
              </w:rPr>
              <w:t xml:space="preserve">US</w:t>
            </w:r>
          </w:p>
        </w:tc>
        <w:tc>
          <w:tcPr>
            <w:tcW w:type="dxa" w:w="11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E65100"/>
                <w:sz w:val="18"/>
                <w:szCs w:val="18"/>
              </w:rPr>
              <w:t xml:space="preserve">WATCHLIST</w:t>
            </w:r>
          </w:p>
        </w:tc>
        <w:tc>
          <w:tcPr>
            <w:tcW w:type="dxa" w:w="11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212121"/>
                <w:sz w:val="18"/>
                <w:szCs w:val="18"/>
              </w:rPr>
              <w:t xml:space="preserve">0.65</w:t>
            </w:r>
          </w:p>
        </w:tc>
        <w:tc>
          <w:tcPr>
            <w:tcW w:type="dxa" w:w="10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212121"/>
                <w:sz w:val="18"/>
                <w:szCs w:val="18"/>
              </w:rPr>
              <w:t xml:space="preserve">52</w:t>
            </w:r>
          </w:p>
        </w:tc>
        <w:tc>
          <w:tcPr>
            <w:tcW w:type="dxa" w:w="15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color w:val="212121"/>
                <w:sz w:val="18"/>
                <w:szCs w:val="18"/>
              </w:rPr>
              <w:t xml:space="preserve">Opex sostenibilidad</w:t>
            </w:r>
          </w:p>
        </w:tc>
        <w:tc>
          <w:tcPr>
            <w:tcW w:type="dxa" w:w="15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color w:val="212121"/>
                <w:sz w:val="18"/>
                <w:szCs w:val="18"/>
              </w:rPr>
              <w:t xml:space="preserve">EBIT ex-holiday</w:t>
            </w:r>
          </w:p>
        </w:tc>
      </w:tr>
      <w:tr>
        <w:tc>
          <w:tcPr>
            <w:tcW w:type="dxa" w:w="9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bCs/>
                <w:color w:val="212121"/>
                <w:sz w:val="18"/>
                <w:szCs w:val="18"/>
              </w:rPr>
              <w:t xml:space="preserve">TZOO</w:t>
            </w:r>
          </w:p>
        </w:tc>
        <w:tc>
          <w:tcPr>
            <w:tcW w:type="dxa" w:w="13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color w:val="212121"/>
                <w:sz w:val="18"/>
                <w:szCs w:val="18"/>
              </w:rPr>
              <w:t xml:space="preserve">Travelzoo</w:t>
            </w:r>
          </w:p>
        </w:tc>
        <w:tc>
          <w:tcPr>
            <w:tcW w:type="dxa" w:w="9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212121"/>
                <w:sz w:val="18"/>
                <w:szCs w:val="18"/>
              </w:rPr>
              <w:t xml:space="preserve">US</w:t>
            </w:r>
          </w:p>
        </w:tc>
        <w:tc>
          <w:tcPr>
            <w:tcW w:type="dxa" w:w="11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E65100"/>
                <w:sz w:val="18"/>
                <w:szCs w:val="18"/>
              </w:rPr>
              <w:t xml:space="preserve">WATCHLIST</w:t>
            </w:r>
          </w:p>
        </w:tc>
        <w:tc>
          <w:tcPr>
            <w:tcW w:type="dxa" w:w="11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212121"/>
                <w:sz w:val="18"/>
                <w:szCs w:val="18"/>
              </w:rPr>
              <w:t xml:space="preserve">0.55</w:t>
            </w:r>
          </w:p>
        </w:tc>
        <w:tc>
          <w:tcPr>
            <w:tcW w:type="dxa" w:w="10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C62828"/>
                <w:sz w:val="18"/>
                <w:szCs w:val="18"/>
              </w:rPr>
              <w:t xml:space="preserve">50</w:t>
            </w:r>
          </w:p>
        </w:tc>
        <w:tc>
          <w:tcPr>
            <w:tcW w:type="dxa" w:w="15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color w:val="212121"/>
                <w:sz w:val="18"/>
                <w:szCs w:val="18"/>
              </w:rPr>
              <w:t xml:space="preserve">MetaReview CUESTIONA</w:t>
            </w:r>
          </w:p>
        </w:tc>
        <w:tc>
          <w:tcPr>
            <w:tcW w:type="dxa" w:w="15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color w:val="212121"/>
                <w:sz w:val="18"/>
                <w:szCs w:val="18"/>
              </w:rPr>
              <w:t xml:space="preserve">Rev. growth &gt;5%</w:t>
            </w:r>
          </w:p>
        </w:tc>
      </w:tr>
    </w:tbl>
    <w:p>
      <w:pPr>
        <w:spacing w:after="120"/>
      </w:pPr>
      <w:r>
        <w:rPr>
          <w:rFonts w:ascii="Arial" w:cs="Arial" w:eastAsia="Arial" w:hAnsi="Arial"/>
          <w:i/>
          <w:iCs/>
          <w:color w:val="C62828"/>
          <w:sz w:val="18"/>
          <w:szCs w:val="18"/>
        </w:rPr>
        <w:t xml:space="preserve">* SOM: País/exchange perdido en DecisionPacket (bug de propagación). Aparece como UNKNOWN pese a ser GB/LSE en _estado.json.</w:t>
      </w:r>
    </w:p>
    <w:p>
      <w:pPr>
        <w:spacing w:after="120"/>
      </w:pPr>
      <w:r>
        <w:rPr>
          <w:rFonts w:ascii="Arial" w:cs="Arial" w:eastAsia="Arial" w:hAnsi="Arial"/>
          <w:color w:val="212121"/>
          <w:sz w:val="22"/>
          <w:szCs w:val="22"/>
        </w:rPr>
        <w:t xml:space="preserve"/>
      </w:r>
    </w:p>
    <w:p>
      <w:pPr>
        <w:pStyle w:val="Heading2"/>
      </w:pPr>
      <w:r>
        <w:rPr>
          <w:rFonts w:ascii="Arial" w:cs="Arial" w:eastAsia="Arial" w:hAnsi="Arial"/>
        </w:rPr>
        <w:t xml:space="preserve">3.2 Análisis de Scores Compuestos</w:t>
      </w:r>
    </w:p>
    <w:p>
      <w:pPr>
        <w:spacing w:after="120"/>
      </w:pPr>
      <w:r>
        <w:rPr>
          <w:rFonts w:ascii="Arial" w:cs="Arial" w:eastAsia="Arial" w:hAnsi="Arial"/>
          <w:color w:val="212121"/>
          <w:sz w:val="22"/>
          <w:szCs w:val="22"/>
        </w:rPr>
        <w:t xml:space="preserve">El score compuesto se descompone en 5 componentes. El análisis revela que el bloqueo principal de la decisión INVEST es sistemático: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1560"/>
        <w:gridCol w:w="2340"/>
      </w:tblGrid>
      <w:tr>
        <w:tc>
          <w:tcPr>
            <w:tcW w:type="dxa" w:w="234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Componente</w:t>
            </w:r>
          </w:p>
        </w:tc>
        <w:tc>
          <w:tcPr>
            <w:tcW w:type="dxa" w:w="156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Media</w:t>
            </w:r>
          </w:p>
        </w:tc>
        <w:tc>
          <w:tcPr>
            <w:tcW w:type="dxa" w:w="156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Max Posible</w:t>
            </w:r>
          </w:p>
        </w:tc>
        <w:tc>
          <w:tcPr>
            <w:tcW w:type="dxa" w:w="156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 Alcanzado</w:t>
            </w:r>
          </w:p>
        </w:tc>
        <w:tc>
          <w:tcPr>
            <w:tcW w:type="dxa" w:w="234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Diagnóstico</w:t>
            </w:r>
          </w:p>
        </w:tc>
      </w:tr>
      <w:tr>
        <w:tc>
          <w:tcPr>
            <w:tcW w:type="dxa" w:w="234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color w:val="212121"/>
                <w:sz w:val="18"/>
                <w:szCs w:val="18"/>
              </w:rPr>
              <w:t xml:space="preserve">Supervivencia (S)</w:t>
            </w:r>
          </w:p>
        </w:tc>
        <w:tc>
          <w:tcPr>
            <w:tcW w:type="dxa" w:w="15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212121"/>
                <w:sz w:val="18"/>
                <w:szCs w:val="18"/>
              </w:rPr>
              <w:t xml:space="preserve">20.0</w:t>
            </w:r>
          </w:p>
        </w:tc>
        <w:tc>
          <w:tcPr>
            <w:tcW w:type="dxa" w:w="15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212121"/>
                <w:sz w:val="18"/>
                <w:szCs w:val="18"/>
              </w:rPr>
              <w:t xml:space="preserve">/25</w:t>
            </w:r>
          </w:p>
        </w:tc>
        <w:tc>
          <w:tcPr>
            <w:tcW w:type="dxa" w:w="15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b/>
                <w:bCs/>
                <w:color w:val="2E7D32"/>
                <w:sz w:val="18"/>
                <w:szCs w:val="18"/>
              </w:rPr>
              <w:t xml:space="preserve">80%</w:t>
            </w:r>
          </w:p>
        </w:tc>
        <w:tc>
          <w:tcPr>
            <w:tcW w:type="dxa" w:w="234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color w:val="2E7D32"/>
                <w:sz w:val="18"/>
                <w:szCs w:val="18"/>
              </w:rPr>
              <w:t xml:space="preserve">Fuerte - sin problemas</w:t>
            </w:r>
          </w:p>
        </w:tc>
      </w:tr>
      <w:tr>
        <w:tc>
          <w:tcPr>
            <w:tcW w:type="dxa" w:w="234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color w:val="212121"/>
                <w:sz w:val="18"/>
                <w:szCs w:val="18"/>
              </w:rPr>
              <w:t xml:space="preserve">Mispricing (M)</w:t>
            </w:r>
          </w:p>
        </w:tc>
        <w:tc>
          <w:tcPr>
            <w:tcW w:type="dxa" w:w="15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212121"/>
                <w:sz w:val="18"/>
                <w:szCs w:val="18"/>
              </w:rPr>
              <w:t xml:space="preserve">17.6</w:t>
            </w:r>
          </w:p>
        </w:tc>
        <w:tc>
          <w:tcPr>
            <w:tcW w:type="dxa" w:w="15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212121"/>
                <w:sz w:val="18"/>
                <w:szCs w:val="18"/>
              </w:rPr>
              <w:t xml:space="preserve">/25</w:t>
            </w:r>
          </w:p>
        </w:tc>
        <w:tc>
          <w:tcPr>
            <w:tcW w:type="dxa" w:w="15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2E7D32"/>
                <w:sz w:val="18"/>
                <w:szCs w:val="18"/>
              </w:rPr>
              <w:t xml:space="preserve">70%</w:t>
            </w:r>
          </w:p>
        </w:tc>
        <w:tc>
          <w:tcPr>
            <w:tcW w:type="dxa" w:w="234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color w:val="212121"/>
                <w:sz w:val="18"/>
                <w:szCs w:val="18"/>
              </w:rPr>
              <w:t xml:space="preserve">Adecuado</w:t>
            </w:r>
          </w:p>
        </w:tc>
      </w:tr>
      <w:tr>
        <w:tc>
          <w:tcPr>
            <w:tcW w:type="dxa" w:w="234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color w:val="212121"/>
                <w:sz w:val="18"/>
                <w:szCs w:val="18"/>
              </w:rPr>
              <w:t xml:space="preserve">Downside (R)</w:t>
            </w:r>
          </w:p>
        </w:tc>
        <w:tc>
          <w:tcPr>
            <w:tcW w:type="dxa" w:w="15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212121"/>
                <w:sz w:val="18"/>
                <w:szCs w:val="18"/>
              </w:rPr>
              <w:t xml:space="preserve">9.5</w:t>
            </w:r>
          </w:p>
        </w:tc>
        <w:tc>
          <w:tcPr>
            <w:tcW w:type="dxa" w:w="15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212121"/>
                <w:sz w:val="18"/>
                <w:szCs w:val="18"/>
              </w:rPr>
              <w:t xml:space="preserve">/15</w:t>
            </w:r>
          </w:p>
        </w:tc>
        <w:tc>
          <w:tcPr>
            <w:tcW w:type="dxa" w:w="15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212121"/>
                <w:sz w:val="18"/>
                <w:szCs w:val="18"/>
              </w:rPr>
              <w:t xml:space="preserve">63%</w:t>
            </w:r>
          </w:p>
        </w:tc>
        <w:tc>
          <w:tcPr>
            <w:tcW w:type="dxa" w:w="234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color w:val="212121"/>
                <w:sz w:val="18"/>
                <w:szCs w:val="18"/>
              </w:rPr>
              <w:t xml:space="preserve">Razonable</w:t>
            </w:r>
          </w:p>
        </w:tc>
      </w:tr>
      <w:tr>
        <w:tc>
          <w:tcPr>
            <w:tcW w:type="dxa" w:w="234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color w:val="212121"/>
                <w:sz w:val="18"/>
                <w:szCs w:val="18"/>
              </w:rPr>
              <w:t xml:space="preserve">Calidad (Q)</w:t>
            </w:r>
          </w:p>
        </w:tc>
        <w:tc>
          <w:tcPr>
            <w:tcW w:type="dxa" w:w="15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212121"/>
                <w:sz w:val="18"/>
                <w:szCs w:val="18"/>
              </w:rPr>
              <w:t xml:space="preserve">8.5</w:t>
            </w:r>
          </w:p>
        </w:tc>
        <w:tc>
          <w:tcPr>
            <w:tcW w:type="dxa" w:w="15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212121"/>
                <w:sz w:val="18"/>
                <w:szCs w:val="18"/>
              </w:rPr>
              <w:t xml:space="preserve">/15</w:t>
            </w:r>
          </w:p>
        </w:tc>
        <w:tc>
          <w:tcPr>
            <w:tcW w:type="dxa" w:w="15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b/>
                <w:bCs/>
                <w:color w:val="E65100"/>
                <w:sz w:val="18"/>
                <w:szCs w:val="18"/>
              </w:rPr>
              <w:t xml:space="preserve">57%</w:t>
            </w:r>
          </w:p>
        </w:tc>
        <w:tc>
          <w:tcPr>
            <w:tcW w:type="dxa" w:w="234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color w:val="E65100"/>
                <w:sz w:val="18"/>
                <w:szCs w:val="18"/>
              </w:rPr>
              <w:t xml:space="preserve">Débil - earnings quality</w:t>
            </w:r>
          </w:p>
        </w:tc>
      </w:tr>
      <w:tr>
        <w:tc>
          <w:tcPr>
            <w:tcW w:type="dxa" w:w="234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bCs/>
                <w:color w:val="C62828"/>
                <w:sz w:val="18"/>
                <w:szCs w:val="18"/>
              </w:rPr>
              <w:t xml:space="preserve">Catalizador (C)</w:t>
            </w:r>
          </w:p>
        </w:tc>
        <w:tc>
          <w:tcPr>
            <w:tcW w:type="dxa" w:w="15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b/>
                <w:bCs/>
                <w:color w:val="C62828"/>
                <w:sz w:val="18"/>
                <w:szCs w:val="18"/>
              </w:rPr>
              <w:t xml:space="preserve">10.3</w:t>
            </w:r>
          </w:p>
        </w:tc>
        <w:tc>
          <w:tcPr>
            <w:tcW w:type="dxa" w:w="15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212121"/>
                <w:sz w:val="18"/>
                <w:szCs w:val="18"/>
              </w:rPr>
              <w:t xml:space="preserve">/20</w:t>
            </w:r>
          </w:p>
        </w:tc>
        <w:tc>
          <w:tcPr>
            <w:tcW w:type="dxa" w:w="15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b/>
                <w:bCs/>
                <w:color w:val="C62828"/>
                <w:sz w:val="18"/>
                <w:szCs w:val="18"/>
              </w:rPr>
              <w:t xml:space="preserve">51%</w:t>
            </w:r>
          </w:p>
        </w:tc>
        <w:tc>
          <w:tcPr>
            <w:tcW w:type="dxa" w:w="234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bCs/>
                <w:color w:val="C62828"/>
                <w:sz w:val="18"/>
                <w:szCs w:val="18"/>
              </w:rPr>
              <w:t xml:space="preserve">BLOQUEADOR PRINCIPAL</w:t>
            </w:r>
          </w:p>
        </w:tc>
      </w:tr>
    </w:tbl>
    <w:p>
      <w:pPr>
        <w:spacing w:after="120"/>
      </w:pPr>
      <w:r>
        <w:rPr>
          <w:rFonts w:ascii="Arial" w:cs="Arial" w:eastAsia="Arial" w:hAnsi="Arial"/>
          <w:color w:val="212121"/>
          <w:sz w:val="22"/>
          <w:szCs w:val="22"/>
        </w:rPr>
        <w:t xml:space="preserve"/>
      </w:r>
    </w:p>
    <w:p>
      <w:pPr>
        <w:pStyle w:val="Heading2"/>
      </w:pPr>
      <w:r>
        <w:rPr>
          <w:rFonts w:ascii="Arial" w:cs="Arial" w:eastAsia="Arial" w:hAnsi="Arial"/>
        </w:rPr>
        <w:t xml:space="preserve">3.3 Casos en Progreso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1200"/>
        <w:gridCol w:w="2460"/>
        <w:gridCol w:w="2500"/>
      </w:tblGrid>
      <w:tr>
        <w:tc>
          <w:tcPr>
            <w:tcW w:type="dxa" w:w="12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Ticker</w:t>
            </w:r>
          </w:p>
        </w:tc>
        <w:tc>
          <w:tcPr>
            <w:tcW w:type="dxa" w:w="20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Empresa</w:t>
            </w:r>
          </w:p>
        </w:tc>
        <w:tc>
          <w:tcPr>
            <w:tcW w:type="dxa" w:w="12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Progreso</w:t>
            </w:r>
          </w:p>
        </w:tc>
        <w:tc>
          <w:tcPr>
            <w:tcW w:type="dxa" w:w="246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Paso Pendiente</w:t>
            </w:r>
          </w:p>
        </w:tc>
        <w:tc>
          <w:tcPr>
            <w:tcW w:type="dxa" w:w="25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ETA</w:t>
            </w:r>
          </w:p>
        </w:tc>
      </w:tr>
      <w:tr>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bCs/>
                <w:color w:val="212121"/>
                <w:sz w:val="18"/>
                <w:szCs w:val="18"/>
              </w:rPr>
              <w:t xml:space="preserve">ACLS</w:t>
            </w:r>
          </w:p>
        </w:tc>
        <w:tc>
          <w:tcPr>
            <w:tcW w:type="dxa" w:w="20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color w:val="212121"/>
                <w:sz w:val="18"/>
                <w:szCs w:val="18"/>
              </w:rPr>
              <w:t xml:space="preserve">Axcelis Technologies</w:t>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212121"/>
                <w:sz w:val="18"/>
                <w:szCs w:val="18"/>
              </w:rPr>
              <w:t xml:space="preserve">7/8</w:t>
            </w:r>
          </w:p>
        </w:tc>
        <w:tc>
          <w:tcPr>
            <w:tcW w:type="dxa" w:w="24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color w:val="212121"/>
                <w:sz w:val="18"/>
                <w:szCs w:val="18"/>
              </w:rPr>
              <w:t xml:space="preserve">ARBITRO pendiente</w:t>
            </w:r>
          </w:p>
        </w:tc>
        <w:tc>
          <w:tcPr>
            <w:tcW w:type="dxa" w:w="25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color w:val="212121"/>
                <w:sz w:val="18"/>
                <w:szCs w:val="18"/>
              </w:rPr>
              <w:t xml:space="preserve">25 feb 2026</w:t>
            </w:r>
          </w:p>
        </w:tc>
      </w:tr>
      <w:tr>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bCs/>
                <w:color w:val="212121"/>
                <w:sz w:val="18"/>
                <w:szCs w:val="18"/>
              </w:rPr>
              <w:t xml:space="preserve">BOBS</w:t>
            </w:r>
          </w:p>
        </w:tc>
        <w:tc>
          <w:tcPr>
            <w:tcW w:type="dxa" w:w="20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color w:val="212121"/>
                <w:sz w:val="18"/>
                <w:szCs w:val="18"/>
              </w:rPr>
              <w:t xml:space="preserve">Bob's Furniture</w:t>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212121"/>
                <w:sz w:val="18"/>
                <w:szCs w:val="18"/>
              </w:rPr>
              <w:t xml:space="preserve">3/8</w:t>
            </w:r>
          </w:p>
        </w:tc>
        <w:tc>
          <w:tcPr>
            <w:tcW w:type="dxa" w:w="24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color w:val="212121"/>
                <w:sz w:val="18"/>
                <w:szCs w:val="18"/>
              </w:rPr>
              <w:t xml:space="preserve">CATALYST+ en adelante</w:t>
            </w:r>
          </w:p>
        </w:tc>
        <w:tc>
          <w:tcPr>
            <w:tcW w:type="dxa" w:w="25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color w:val="212121"/>
                <w:sz w:val="18"/>
                <w:szCs w:val="18"/>
              </w:rPr>
              <w:t xml:space="preserve">25+ feb 2026</w:t>
            </w:r>
          </w:p>
        </w:tc>
      </w:tr>
      <w:tr>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bCs/>
                <w:color w:val="212121"/>
                <w:sz w:val="18"/>
                <w:szCs w:val="18"/>
              </w:rPr>
              <w:t xml:space="preserve">EVER</w:t>
            </w:r>
          </w:p>
        </w:tc>
        <w:tc>
          <w:tcPr>
            <w:tcW w:type="dxa" w:w="20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color w:val="212121"/>
                <w:sz w:val="18"/>
                <w:szCs w:val="18"/>
              </w:rPr>
              <w:t xml:space="preserve">EverBridge</w:t>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212121"/>
                <w:sz w:val="18"/>
                <w:szCs w:val="18"/>
              </w:rPr>
              <w:t xml:space="preserve">6/8</w:t>
            </w:r>
          </w:p>
        </w:tc>
        <w:tc>
          <w:tcPr>
            <w:tcW w:type="dxa" w:w="24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color w:val="212121"/>
                <w:sz w:val="18"/>
                <w:szCs w:val="18"/>
              </w:rPr>
              <w:t xml:space="preserve">RED_TEAM pendiente</w:t>
            </w:r>
          </w:p>
        </w:tc>
        <w:tc>
          <w:tcPr>
            <w:tcW w:type="dxa" w:w="25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color w:val="212121"/>
                <w:sz w:val="18"/>
                <w:szCs w:val="18"/>
              </w:rPr>
              <w:t xml:space="preserve">24+ feb 2026</w:t>
            </w:r>
          </w:p>
        </w:tc>
      </w:tr>
      <w:tr>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bCs/>
                <w:color w:val="212121"/>
                <w:sz w:val="18"/>
                <w:szCs w:val="18"/>
              </w:rPr>
              <w:t xml:space="preserve">GCT</w:t>
            </w:r>
          </w:p>
        </w:tc>
        <w:tc>
          <w:tcPr>
            <w:tcW w:type="dxa" w:w="20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color w:val="212121"/>
                <w:sz w:val="18"/>
                <w:szCs w:val="18"/>
              </w:rPr>
              <w:t xml:space="preserve">Global Cash Access</w:t>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212121"/>
                <w:sz w:val="18"/>
                <w:szCs w:val="18"/>
              </w:rPr>
              <w:t xml:space="preserve">6/8</w:t>
            </w:r>
          </w:p>
        </w:tc>
        <w:tc>
          <w:tcPr>
            <w:tcW w:type="dxa" w:w="24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color w:val="212121"/>
                <w:sz w:val="18"/>
                <w:szCs w:val="18"/>
              </w:rPr>
              <w:t xml:space="preserve">RED_TEAM pendiente</w:t>
            </w:r>
          </w:p>
        </w:tc>
        <w:tc>
          <w:tcPr>
            <w:tcW w:type="dxa" w:w="25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color w:val="212121"/>
                <w:sz w:val="18"/>
                <w:szCs w:val="18"/>
              </w:rPr>
              <w:t xml:space="preserve">24+ feb 2026</w:t>
            </w:r>
          </w:p>
        </w:tc>
      </w:tr>
      <w:tr>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bCs/>
                <w:color w:val="212121"/>
                <w:sz w:val="18"/>
                <w:szCs w:val="18"/>
              </w:rPr>
              <w:t xml:space="preserve">TALO</w:t>
            </w:r>
          </w:p>
        </w:tc>
        <w:tc>
          <w:tcPr>
            <w:tcW w:type="dxa" w:w="20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color w:val="212121"/>
                <w:sz w:val="18"/>
                <w:szCs w:val="18"/>
              </w:rPr>
              <w:t xml:space="preserve">Talos Energy</w:t>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212121"/>
                <w:sz w:val="18"/>
                <w:szCs w:val="18"/>
              </w:rPr>
              <w:t xml:space="preserve">3/8</w:t>
            </w:r>
          </w:p>
        </w:tc>
        <w:tc>
          <w:tcPr>
            <w:tcW w:type="dxa" w:w="24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color w:val="212121"/>
                <w:sz w:val="18"/>
                <w:szCs w:val="18"/>
              </w:rPr>
              <w:t xml:space="preserve">CATALYST+ en adelante</w:t>
            </w:r>
          </w:p>
        </w:tc>
        <w:tc>
          <w:tcPr>
            <w:tcW w:type="dxa" w:w="25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color w:val="212121"/>
                <w:sz w:val="18"/>
                <w:szCs w:val="18"/>
              </w:rPr>
              <w:t xml:space="preserve">25+ feb 2026</w:t>
            </w:r>
          </w:p>
        </w:tc>
      </w:tr>
    </w:tbl>
    <w:p>
      <w:pPr>
        <w:spacing w:after="120"/>
      </w:pPr>
      <w:r>
        <w:rPr>
          <w:rFonts w:ascii="Arial" w:cs="Arial" w:eastAsia="Arial" w:hAnsi="Arial"/>
          <w:color w:val="212121"/>
          <w:sz w:val="22"/>
          <w:szCs w:val="22"/>
        </w:rPr>
        <w:t xml:space="preserve"/>
      </w:r>
    </w:p>
    <w:p>
      <w:pPr>
        <w:pStyle w:val="Heading2"/>
      </w:pPr>
      <w:r>
        <w:rPr>
          <w:rFonts w:ascii="Arial" w:cs="Arial" w:eastAsia="Arial" w:hAnsi="Arial"/>
        </w:rPr>
        <w:t xml:space="preserve">3.4 Caso Fallido: TEP</w:t>
      </w:r>
    </w:p>
    <w:p>
      <w:pPr>
        <w:spacing w:after="120"/>
      </w:pPr>
      <w:r>
        <w:rPr>
          <w:rFonts w:ascii="Arial" w:cs="Arial" w:eastAsia="Arial" w:hAnsi="Arial"/>
          <w:color w:val="212121"/>
          <w:sz w:val="22"/>
          <w:szCs w:val="22"/>
        </w:rPr>
        <w:t xml:space="preserve">TEP (TotalEnergies SE / Francia / Euronext) es el único caso que falla catastróficamente. La causa raíz es un error de identidad corporativa: el resolutor de URL de Investor Relations (ir_url_resolver.py) apuntó a Teleperformance en lugar de TotalEnergies. Esto provocó que todas las fuentes descargadas fueran páginas de marketing de Teleperformance, generando un TruthPack con confianza del 25% que no pasa la validación.</w:t>
      </w:r>
    </w:p>
    <w:p>
      <w:pPr>
        <w:pStyle w:val="ListParagraph"/>
        <w:numPr>
          <w:ilvl w:val="0"/>
          <w:numId w:val="2"/>
        </w:numPr>
        <w:spacing w:after="60"/>
      </w:pPr>
      <w:r>
        <w:rPr>
          <w:rFonts w:ascii="Arial" w:cs="Arial" w:eastAsia="Arial" w:hAnsi="Arial"/>
          <w:sz w:val="20"/>
          <w:szCs w:val="20"/>
        </w:rPr>
        <w:t xml:space="preserve">Causa raíz: No existe validación de identidad corporativa (nombre esperado vs. nombre encontrado)</w:t>
      </w:r>
    </w:p>
    <w:p>
      <w:pPr>
        <w:pStyle w:val="ListParagraph"/>
        <w:numPr>
          <w:ilvl w:val="0"/>
          <w:numId w:val="2"/>
        </w:numPr>
        <w:spacing w:after="60"/>
      </w:pPr>
      <w:r>
        <w:rPr>
          <w:rFonts w:ascii="Arial" w:cs="Arial" w:eastAsia="Arial" w:hAnsi="Arial"/>
          <w:sz w:val="20"/>
          <w:szCs w:val="20"/>
        </w:rPr>
        <w:t xml:space="preserve">Impacto: Pipeline bloqueado en TP_VALIDATOR; ningún paso posterior se ejecuta</w:t>
      </w:r>
    </w:p>
    <w:p>
      <w:pPr>
        <w:pStyle w:val="ListParagraph"/>
        <w:numPr>
          <w:ilvl w:val="0"/>
          <w:numId w:val="2"/>
        </w:numPr>
        <w:spacing w:after="60"/>
      </w:pPr>
      <w:r>
        <w:rPr>
          <w:rFonts w:ascii="Arial" w:cs="Arial" w:eastAsia="Arial" w:hAnsi="Arial"/>
          <w:sz w:val="20"/>
          <w:szCs w:val="20"/>
        </w:rPr>
        <w:t xml:space="preserve">Solución: Implementar verificación de nombre de empresa contra fuentes oficiales (Euronext, HKEX, ASX)</w:t>
      </w:r>
    </w:p>
    <w:p>
      <w:r>
        <w:br w:type="page"/>
      </w:r>
    </w:p>
    <w:p>
      <w:pPr>
        <w:pStyle w:val="Heading1"/>
      </w:pPr>
      <w:r>
        <w:rPr>
          <w:rFonts w:ascii="Arial" w:cs="Arial" w:eastAsia="Arial" w:hAnsi="Arial"/>
        </w:rPr>
        <w:t xml:space="preserve">4. ANÁLISIS DE TICKERS INTERNACIONALES</w:t>
      </w:r>
    </w:p>
    <w:p>
      <w:pPr>
        <w:spacing w:after="120"/>
      </w:pPr>
      <w:r>
        <w:rPr>
          <w:rFonts w:ascii="Arial" w:cs="Arial" w:eastAsia="Arial" w:hAnsi="Arial"/>
          <w:color w:val="212121"/>
          <w:sz w:val="22"/>
          <w:szCs w:val="22"/>
        </w:rPr>
        <w:t xml:space="preserve">El sistema procesa 5 tickers no-US de 4 mercados diferentes. La cobertura de datos y robustez varía significativamente según el mercado de origen.</w:t>
      </w:r>
    </w:p>
    <w:p>
      <w:pPr>
        <w:pStyle w:val="Heading2"/>
      </w:pPr>
      <w:r>
        <w:rPr>
          <w:rFonts w:ascii="Arial" w:cs="Arial" w:eastAsia="Arial" w:hAnsi="Arial"/>
        </w:rPr>
        <w:t xml:space="preserve">4.1 Cobertura de Datos por Mercado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300"/>
        <w:gridCol w:w="1200"/>
        <w:gridCol w:w="1560"/>
        <w:gridCol w:w="1560"/>
        <w:gridCol w:w="1100"/>
        <w:gridCol w:w="1540"/>
      </w:tblGrid>
      <w:tr>
        <w:tc>
          <w:tcPr>
            <w:tcW w:type="dxa" w:w="11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Ticker</w:t>
            </w:r>
          </w:p>
        </w:tc>
        <w:tc>
          <w:tcPr>
            <w:tcW w:type="dxa" w:w="13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País</w:t>
            </w:r>
          </w:p>
        </w:tc>
        <w:tc>
          <w:tcPr>
            <w:tcW w:type="dxa" w:w="12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Exchange</w:t>
            </w:r>
          </w:p>
        </w:tc>
        <w:tc>
          <w:tcPr>
            <w:tcW w:type="dxa" w:w="156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Cobertura</w:t>
            </w:r>
          </w:p>
        </w:tc>
        <w:tc>
          <w:tcPr>
            <w:tcW w:type="dxa" w:w="156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Datos Faltantes</w:t>
            </w:r>
          </w:p>
        </w:tc>
        <w:tc>
          <w:tcPr>
            <w:tcW w:type="dxa" w:w="11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Conf.</w:t>
            </w:r>
          </w:p>
        </w:tc>
        <w:tc>
          <w:tcPr>
            <w:tcW w:type="dxa" w:w="154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Impacto</w:t>
            </w:r>
          </w:p>
        </w:tc>
      </w:tr>
      <w:tr>
        <w:tc>
          <w:tcPr>
            <w:tcW w:type="dxa" w:w="11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bCs/>
                <w:color w:val="212121"/>
                <w:sz w:val="18"/>
                <w:szCs w:val="18"/>
              </w:rPr>
              <w:t xml:space="preserve">0327</w:t>
            </w:r>
          </w:p>
        </w:tc>
        <w:tc>
          <w:tcPr>
            <w:tcW w:type="dxa" w:w="13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color w:val="212121"/>
                <w:sz w:val="18"/>
                <w:szCs w:val="18"/>
              </w:rPr>
              <w:t xml:space="preserve">Hong Kong</w:t>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color w:val="212121"/>
                <w:sz w:val="18"/>
                <w:szCs w:val="18"/>
              </w:rPr>
              <w:t xml:space="preserve">HKEX</w:t>
            </w:r>
          </w:p>
        </w:tc>
        <w:tc>
          <w:tcPr>
            <w:tcW w:type="dxa" w:w="15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E65100"/>
                <w:sz w:val="18"/>
                <w:szCs w:val="18"/>
              </w:rPr>
              <w:t xml:space="preserve">65%</w:t>
            </w:r>
          </w:p>
        </w:tc>
        <w:tc>
          <w:tcPr>
            <w:tcW w:type="dxa" w:w="15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color w:val="212121"/>
                <w:sz w:val="18"/>
                <w:szCs w:val="18"/>
              </w:rPr>
              <w:t xml:space="preserve">COGS, deprec.</w:t>
            </w:r>
          </w:p>
        </w:tc>
        <w:tc>
          <w:tcPr>
            <w:tcW w:type="dxa" w:w="11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212121"/>
                <w:sz w:val="18"/>
                <w:szCs w:val="18"/>
              </w:rPr>
              <w:t xml:space="preserve">0.75</w:t>
            </w:r>
          </w:p>
        </w:tc>
        <w:tc>
          <w:tcPr>
            <w:tcW w:type="dxa" w:w="154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212121"/>
                <w:sz w:val="18"/>
                <w:szCs w:val="18"/>
              </w:rPr>
              <w:t xml:space="preserve">Medio</w:t>
            </w:r>
          </w:p>
        </w:tc>
      </w:tr>
      <w:tr>
        <w:tc>
          <w:tcPr>
            <w:tcW w:type="dxa" w:w="11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bCs/>
                <w:color w:val="212121"/>
                <w:sz w:val="18"/>
                <w:szCs w:val="18"/>
              </w:rPr>
              <w:t xml:space="preserve">KAR</w:t>
            </w:r>
          </w:p>
        </w:tc>
        <w:tc>
          <w:tcPr>
            <w:tcW w:type="dxa" w:w="13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color w:val="212121"/>
                <w:sz w:val="18"/>
                <w:szCs w:val="18"/>
              </w:rPr>
              <w:t xml:space="preserve">Australia</w:t>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color w:val="212121"/>
                <w:sz w:val="18"/>
                <w:szCs w:val="18"/>
              </w:rPr>
              <w:t xml:space="preserve">ASX</w:t>
            </w:r>
          </w:p>
        </w:tc>
        <w:tc>
          <w:tcPr>
            <w:tcW w:type="dxa" w:w="15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C62828"/>
                <w:sz w:val="18"/>
                <w:szCs w:val="18"/>
              </w:rPr>
              <w:t xml:space="preserve">55%</w:t>
            </w:r>
          </w:p>
        </w:tc>
        <w:tc>
          <w:tcPr>
            <w:tcW w:type="dxa" w:w="15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color w:val="C62828"/>
                <w:sz w:val="18"/>
                <w:szCs w:val="18"/>
              </w:rPr>
              <w:t xml:space="preserve">EBIT completo</w:t>
            </w:r>
          </w:p>
        </w:tc>
        <w:tc>
          <w:tcPr>
            <w:tcW w:type="dxa" w:w="11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212121"/>
                <w:sz w:val="18"/>
                <w:szCs w:val="18"/>
              </w:rPr>
              <w:t xml:space="preserve">0.58</w:t>
            </w:r>
          </w:p>
        </w:tc>
        <w:tc>
          <w:tcPr>
            <w:tcW w:type="dxa" w:w="154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C62828"/>
                <w:sz w:val="18"/>
                <w:szCs w:val="18"/>
              </w:rPr>
              <w:t xml:space="preserve">Alto</w:t>
            </w:r>
          </w:p>
        </w:tc>
      </w:tr>
      <w:tr>
        <w:tc>
          <w:tcPr>
            <w:tcW w:type="dxa" w:w="11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bCs/>
                <w:color w:val="212121"/>
                <w:sz w:val="18"/>
                <w:szCs w:val="18"/>
              </w:rPr>
              <w:t xml:space="preserve">NEXN</w:t>
            </w:r>
          </w:p>
        </w:tc>
        <w:tc>
          <w:tcPr>
            <w:tcW w:type="dxa" w:w="13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color w:val="212121"/>
                <w:sz w:val="18"/>
                <w:szCs w:val="18"/>
              </w:rPr>
              <w:t xml:space="preserve">Israel (US-listed)</w:t>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color w:val="212121"/>
                <w:sz w:val="18"/>
                <w:szCs w:val="18"/>
              </w:rPr>
              <w:t xml:space="preserve">NASDAQ</w:t>
            </w:r>
          </w:p>
        </w:tc>
        <w:tc>
          <w:tcPr>
            <w:tcW w:type="dxa" w:w="15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2E7D32"/>
                <w:sz w:val="18"/>
                <w:szCs w:val="18"/>
              </w:rPr>
              <w:t xml:space="preserve">90%</w:t>
            </w:r>
          </w:p>
        </w:tc>
        <w:tc>
          <w:tcPr>
            <w:tcW w:type="dxa" w:w="15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color w:val="212121"/>
                <w:sz w:val="18"/>
                <w:szCs w:val="18"/>
              </w:rPr>
              <w:t xml:space="preserve">Lag 14 meses</w:t>
            </w:r>
          </w:p>
        </w:tc>
        <w:tc>
          <w:tcPr>
            <w:tcW w:type="dxa" w:w="11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212121"/>
                <w:sz w:val="18"/>
                <w:szCs w:val="18"/>
              </w:rPr>
              <w:t xml:space="preserve">0.55</w:t>
            </w:r>
          </w:p>
        </w:tc>
        <w:tc>
          <w:tcPr>
            <w:tcW w:type="dxa" w:w="154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2E7D32"/>
                <w:sz w:val="18"/>
                <w:szCs w:val="18"/>
              </w:rPr>
              <w:t xml:space="preserve">Bajo</w:t>
            </w:r>
          </w:p>
        </w:tc>
      </w:tr>
      <w:tr>
        <w:tc>
          <w:tcPr>
            <w:tcW w:type="dxa" w:w="11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bCs/>
                <w:color w:val="212121"/>
                <w:sz w:val="18"/>
                <w:szCs w:val="18"/>
              </w:rPr>
              <w:t xml:space="preserve">SOM</w:t>
            </w:r>
          </w:p>
        </w:tc>
        <w:tc>
          <w:tcPr>
            <w:tcW w:type="dxa" w:w="13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color w:val="212121"/>
                <w:sz w:val="18"/>
                <w:szCs w:val="18"/>
              </w:rPr>
              <w:t xml:space="preserve">UK</w:t>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color w:val="212121"/>
                <w:sz w:val="18"/>
                <w:szCs w:val="18"/>
              </w:rPr>
              <w:t xml:space="preserve">LSE</w:t>
            </w:r>
          </w:p>
        </w:tc>
        <w:tc>
          <w:tcPr>
            <w:tcW w:type="dxa" w:w="15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E65100"/>
                <w:sz w:val="18"/>
                <w:szCs w:val="18"/>
              </w:rPr>
              <w:t xml:space="preserve">60%</w:t>
            </w:r>
          </w:p>
        </w:tc>
        <w:tc>
          <w:tcPr>
            <w:tcW w:type="dxa" w:w="15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color w:val="212121"/>
                <w:sz w:val="18"/>
                <w:szCs w:val="18"/>
              </w:rPr>
              <w:t xml:space="preserve">FY25 no auditado</w:t>
            </w:r>
          </w:p>
        </w:tc>
        <w:tc>
          <w:tcPr>
            <w:tcW w:type="dxa" w:w="11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212121"/>
                <w:sz w:val="18"/>
                <w:szCs w:val="18"/>
              </w:rPr>
              <w:t xml:space="preserve">0.59</w:t>
            </w:r>
          </w:p>
        </w:tc>
        <w:tc>
          <w:tcPr>
            <w:tcW w:type="dxa" w:w="154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212121"/>
                <w:sz w:val="18"/>
                <w:szCs w:val="18"/>
              </w:rPr>
              <w:t xml:space="preserve">Medio</w:t>
            </w:r>
          </w:p>
        </w:tc>
      </w:tr>
      <w:tr>
        <w:tc>
          <w:tcPr>
            <w:tcW w:type="dxa" w:w="11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bCs/>
                <w:color w:val="C62828"/>
                <w:sz w:val="18"/>
                <w:szCs w:val="18"/>
              </w:rPr>
              <w:t xml:space="preserve">TEP</w:t>
            </w:r>
          </w:p>
        </w:tc>
        <w:tc>
          <w:tcPr>
            <w:tcW w:type="dxa" w:w="13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color w:val="C62828"/>
                <w:sz w:val="18"/>
                <w:szCs w:val="18"/>
              </w:rPr>
              <w:t xml:space="preserve">Francia</w:t>
            </w:r>
          </w:p>
        </w:tc>
        <w:tc>
          <w:tcPr>
            <w:tcW w:type="dxa" w:w="12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color w:val="C62828"/>
                <w:sz w:val="18"/>
                <w:szCs w:val="18"/>
              </w:rPr>
              <w:t xml:space="preserve">Euronext</w:t>
            </w:r>
          </w:p>
        </w:tc>
        <w:tc>
          <w:tcPr>
            <w:tcW w:type="dxa" w:w="15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b/>
                <w:bCs/>
                <w:color w:val="C62828"/>
                <w:sz w:val="18"/>
                <w:szCs w:val="18"/>
              </w:rPr>
              <w:t xml:space="preserve">0%</w:t>
            </w:r>
          </w:p>
        </w:tc>
        <w:tc>
          <w:tcPr>
            <w:tcW w:type="dxa" w:w="15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bCs/>
                <w:color w:val="C62828"/>
                <w:sz w:val="18"/>
                <w:szCs w:val="18"/>
              </w:rPr>
              <w:t xml:space="preserve">TODO (error ID)</w:t>
            </w:r>
          </w:p>
        </w:tc>
        <w:tc>
          <w:tcPr>
            <w:tcW w:type="dxa" w:w="11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212121"/>
                <w:sz w:val="18"/>
                <w:szCs w:val="18"/>
              </w:rPr>
              <w:t xml:space="preserve">N/A</w:t>
            </w:r>
          </w:p>
        </w:tc>
        <w:tc>
          <w:tcPr>
            <w:tcW w:type="dxa" w:w="154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b/>
                <w:bCs/>
                <w:color w:val="C62828"/>
                <w:sz w:val="18"/>
                <w:szCs w:val="18"/>
              </w:rPr>
              <w:t xml:space="preserve">Crítico</w:t>
            </w:r>
          </w:p>
        </w:tc>
      </w:tr>
    </w:tbl>
    <w:p>
      <w:pPr>
        <w:spacing w:after="120"/>
      </w:pPr>
      <w:r>
        <w:rPr>
          <w:rFonts w:ascii="Arial" w:cs="Arial" w:eastAsia="Arial" w:hAnsi="Arial"/>
          <w:color w:val="212121"/>
          <w:sz w:val="22"/>
          <w:szCs w:val="22"/>
        </w:rPr>
        <w:t xml:space="preserve"/>
      </w:r>
    </w:p>
    <w:p>
      <w:pPr>
        <w:pStyle w:val="Heading2"/>
      </w:pPr>
      <w:r>
        <w:rPr>
          <w:rFonts w:ascii="Arial" w:cs="Arial" w:eastAsia="Arial" w:hAnsi="Arial"/>
        </w:rPr>
        <w:t xml:space="preserve">4.2 Gaps Específicos por Mercado</w:t>
      </w:r>
    </w:p>
    <w:p>
      <w:pPr>
        <w:spacing w:after="120"/>
      </w:pPr>
      <w:r>
        <w:rPr>
          <w:rFonts w:ascii="Arial" w:cs="Arial" w:eastAsia="Arial" w:hAnsi="Arial"/>
          <w:b/>
          <w:bCs/>
          <w:color w:val="212121"/>
          <w:sz w:val="22"/>
          <w:szCs w:val="22"/>
        </w:rPr>
        <w:t xml:space="preserve">Hong Kong (HKEX) — 0327:</w:t>
      </w:r>
    </w:p>
    <w:p>
      <w:pPr>
        <w:pStyle w:val="ListParagraph"/>
        <w:numPr>
          <w:ilvl w:val="0"/>
          <w:numId w:val="2"/>
        </w:numPr>
        <w:spacing w:after="60"/>
      </w:pPr>
      <w:r>
        <w:rPr>
          <w:rFonts w:ascii="Arial" w:cs="Arial" w:eastAsia="Arial" w:hAnsi="Arial"/>
          <w:sz w:val="20"/>
          <w:szCs w:val="20"/>
        </w:rPr>
        <w:t xml:space="preserve">FCF spike inexplicado (HK$490M a HK$1,163M) sin desglose de componentes</w:t>
      </w:r>
    </w:p>
    <w:p>
      <w:pPr>
        <w:pStyle w:val="ListParagraph"/>
        <w:numPr>
          <w:ilvl w:val="0"/>
          <w:numId w:val="2"/>
        </w:numPr>
        <w:spacing w:after="60"/>
      </w:pPr>
      <w:r>
        <w:rPr>
          <w:rFonts w:ascii="Arial" w:cs="Arial" w:eastAsia="Arial" w:hAnsi="Arial"/>
          <w:sz w:val="20"/>
          <w:szCs w:val="20"/>
        </w:rPr>
        <w:t xml:space="preserve">Cash parcialmente en China continental con restricciones SAFE no modeladas</w:t>
      </w:r>
    </w:p>
    <w:p>
      <w:pPr>
        <w:pStyle w:val="ListParagraph"/>
        <w:numPr>
          <w:ilvl w:val="0"/>
          <w:numId w:val="2"/>
        </w:numPr>
        <w:spacing w:after="60"/>
      </w:pPr>
      <w:r>
        <w:rPr>
          <w:rFonts w:ascii="Arial" w:cs="Arial" w:eastAsia="Arial" w:hAnsi="Arial"/>
          <w:sz w:val="20"/>
          <w:szCs w:val="20"/>
        </w:rPr>
        <w:t xml:space="preserve">Falta reconocimiento de keywords financieros en mandarín</w:t>
      </w:r>
    </w:p>
    <w:p>
      <w:pPr>
        <w:spacing w:after="120"/>
      </w:pPr>
      <w:r>
        <w:rPr>
          <w:rFonts w:ascii="Arial" w:cs="Arial" w:eastAsia="Arial" w:hAnsi="Arial"/>
          <w:b/>
          <w:bCs/>
          <w:color w:val="212121"/>
          <w:sz w:val="22"/>
          <w:szCs w:val="22"/>
        </w:rPr>
        <w:t xml:space="preserve">Australia (ASX) — KAR:</w:t>
      </w:r>
    </w:p>
    <w:p>
      <w:pPr>
        <w:pStyle w:val="ListParagraph"/>
        <w:numPr>
          <w:ilvl w:val="0"/>
          <w:numId w:val="2"/>
        </w:numPr>
        <w:spacing w:after="60"/>
      </w:pPr>
      <w:r>
        <w:rPr>
          <w:rFonts w:ascii="Arial" w:cs="Arial" w:eastAsia="Arial" w:hAnsi="Arial"/>
          <w:sz w:val="20"/>
          <w:szCs w:val="20"/>
        </w:rPr>
        <w:t xml:space="preserve">EBIT completamente faltante en todas las extracciones — crítico para valoración</w:t>
      </w:r>
    </w:p>
    <w:p>
      <w:pPr>
        <w:pStyle w:val="ListParagraph"/>
        <w:numPr>
          <w:ilvl w:val="0"/>
          <w:numId w:val="2"/>
        </w:numPr>
        <w:spacing w:after="60"/>
      </w:pPr>
      <w:r>
        <w:rPr>
          <w:rFonts w:ascii="Arial" w:cs="Arial" w:eastAsia="Arial" w:hAnsi="Arial"/>
          <w:sz w:val="20"/>
          <w:szCs w:val="20"/>
        </w:rPr>
        <w:t xml:space="preserve">Capex escalando +51% CAGR contradice la normalización que asume el pipeline</w:t>
      </w:r>
    </w:p>
    <w:p>
      <w:pPr>
        <w:pStyle w:val="ListParagraph"/>
        <w:numPr>
          <w:ilvl w:val="0"/>
          <w:numId w:val="2"/>
        </w:numPr>
        <w:spacing w:after="60"/>
      </w:pPr>
      <w:r>
        <w:rPr>
          <w:rFonts w:ascii="Arial" w:cs="Arial" w:eastAsia="Arial" w:hAnsi="Arial"/>
          <w:sz w:val="20"/>
          <w:szCs w:val="20"/>
        </w:rPr>
        <w:t xml:space="preserve">Ajustes de leases convierten $0 a -$170M de deuda neta sin documentar</w:t>
      </w:r>
    </w:p>
    <w:p>
      <w:pPr>
        <w:spacing w:after="120"/>
      </w:pPr>
      <w:r>
        <w:rPr>
          <w:rFonts w:ascii="Arial" w:cs="Arial" w:eastAsia="Arial" w:hAnsi="Arial"/>
          <w:b/>
          <w:bCs/>
          <w:color w:val="212121"/>
          <w:sz w:val="22"/>
          <w:szCs w:val="22"/>
        </w:rPr>
        <w:t xml:space="preserve">Francia (Euronext) — TEP:</w:t>
      </w:r>
    </w:p>
    <w:p>
      <w:pPr>
        <w:pStyle w:val="ListParagraph"/>
        <w:numPr>
          <w:ilvl w:val="0"/>
          <w:numId w:val="2"/>
        </w:numPr>
        <w:spacing w:after="60"/>
      </w:pPr>
      <w:r>
        <w:rPr>
          <w:rFonts w:ascii="Arial" w:cs="Arial" w:eastAsia="Arial" w:hAnsi="Arial"/>
          <w:sz w:val="20"/>
          <w:szCs w:val="20"/>
        </w:rPr>
        <w:t xml:space="preserve">Fallo total: URL de IR apunta a empresa equivocada (Teleperformance)</w:t>
      </w:r>
    </w:p>
    <w:p>
      <w:pPr>
        <w:pStyle w:val="ListParagraph"/>
        <w:numPr>
          <w:ilvl w:val="0"/>
          <w:numId w:val="2"/>
        </w:numPr>
        <w:spacing w:after="60"/>
      </w:pPr>
      <w:r>
        <w:rPr>
          <w:rFonts w:ascii="Arial" w:cs="Arial" w:eastAsia="Arial" w:hAnsi="Arial"/>
          <w:sz w:val="20"/>
          <w:szCs w:val="20"/>
        </w:rPr>
        <w:t xml:space="preserve">iXBRL extractor no puede procesar PDFs (URD francés es PDF-first)</w:t>
      </w:r>
    </w:p>
    <w:p>
      <w:pPr>
        <w:pStyle w:val="ListParagraph"/>
        <w:numPr>
          <w:ilvl w:val="0"/>
          <w:numId w:val="2"/>
        </w:numPr>
        <w:spacing w:after="60"/>
      </w:pPr>
      <w:r>
        <w:rPr>
          <w:rFonts w:ascii="Arial" w:cs="Arial" w:eastAsia="Arial" w:hAnsi="Arial"/>
          <w:sz w:val="20"/>
          <w:szCs w:val="20"/>
        </w:rPr>
        <w:t xml:space="preserve">Sin soporte de idioma francés para reconocimiento de keywords financieros</w:t>
      </w:r>
    </w:p>
    <w:p>
      <w:pPr>
        <w:spacing w:after="120"/>
      </w:pPr>
      <w:r>
        <w:rPr>
          <w:rFonts w:ascii="Arial" w:cs="Arial" w:eastAsia="Arial" w:hAnsi="Arial"/>
          <w:b/>
          <w:bCs/>
          <w:color w:val="C62828"/>
          <w:sz w:val="22"/>
          <w:szCs w:val="22"/>
        </w:rPr>
        <w:t xml:space="preserve">Hallazgo clave:</w:t>
      </w:r>
    </w:p>
    <w:p>
      <w:pPr>
        <w:spacing w:after="120"/>
      </w:pPr>
      <w:r>
        <w:rPr>
          <w:rFonts w:ascii="Arial" w:cs="Arial" w:eastAsia="Arial" w:hAnsi="Arial"/>
          <w:i/>
          <w:iCs/>
          <w:color w:val="212121"/>
          <w:sz w:val="22"/>
          <w:szCs w:val="22"/>
        </w:rPr>
        <w:t xml:space="preserve">La confianza de tickers no-US es sistemáticamente 10-25 puntos inferior a equivalentes US con similar cobertura de datos. Esto sugiere que el pipeline penaliza implícitamente a empresas internacionales por gaps de datos que son inherentes a esos mercados, no a problemas reales de la empresa.</w:t>
      </w:r>
    </w:p>
    <w:p>
      <w:r>
        <w:br w:type="page"/>
      </w:r>
    </w:p>
    <w:p>
      <w:pPr>
        <w:pStyle w:val="Heading1"/>
      </w:pPr>
      <w:r>
        <w:rPr>
          <w:rFonts w:ascii="Arial" w:cs="Arial" w:eastAsia="Arial" w:hAnsi="Arial"/>
        </w:rPr>
        <w:t xml:space="preserve">5. TAXONOMÍA DE ERRORES Y FALLOS</w:t>
      </w:r>
    </w:p>
    <w:p>
      <w:pPr>
        <w:spacing w:after="120"/>
      </w:pPr>
      <w:r>
        <w:rPr>
          <w:rFonts w:ascii="Arial" w:cs="Arial" w:eastAsia="Arial" w:hAnsi="Arial"/>
          <w:color w:val="212121"/>
          <w:sz w:val="22"/>
          <w:szCs w:val="22"/>
        </w:rPr>
        <w:t xml:space="preserve">Se han catalogado 139 eventos de error durante el período analizado (15-24 febrero 2026). A continuación se presenta la clasificación completa:</w:t>
      </w:r>
    </w:p>
    <w:p>
      <w:pPr>
        <w:pStyle w:val="Heading2"/>
      </w:pPr>
      <w:r>
        <w:rPr>
          <w:rFonts w:ascii="Arial" w:cs="Arial" w:eastAsia="Arial" w:hAnsi="Arial"/>
        </w:rPr>
        <w:t xml:space="preserve">5.1 Distribución por Categoría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1000"/>
        <w:gridCol w:w="2280"/>
        <w:gridCol w:w="2280"/>
      </w:tblGrid>
      <w:tr>
        <w:tc>
          <w:tcPr>
            <w:tcW w:type="dxa" w:w="28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Categoría</w:t>
            </w:r>
          </w:p>
        </w:tc>
        <w:tc>
          <w:tcPr>
            <w:tcW w:type="dxa" w:w="10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Eventos</w:t>
            </w:r>
          </w:p>
        </w:tc>
        <w:tc>
          <w:tcPr>
            <w:tcW w:type="dxa" w:w="10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 Total</w:t>
            </w:r>
          </w:p>
        </w:tc>
        <w:tc>
          <w:tcPr>
            <w:tcW w:type="dxa" w:w="228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Modelos Afectados</w:t>
            </w:r>
          </w:p>
        </w:tc>
        <w:tc>
          <w:tcPr>
            <w:tcW w:type="dxa" w:w="228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Recuperable</w:t>
            </w:r>
          </w:p>
        </w:tc>
      </w:tr>
      <w:tr>
        <w:tc>
          <w:tcPr>
            <w:tcW w:type="dxa" w:w="28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bCs/>
                <w:color w:val="212121"/>
                <w:sz w:val="18"/>
                <w:szCs w:val="18"/>
              </w:rPr>
              <w:t xml:space="preserve">Auth &amp; Backend Availability</w:t>
            </w:r>
          </w:p>
        </w:tc>
        <w:tc>
          <w:tcPr>
            <w:tcW w:type="dxa" w:w="10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b/>
                <w:bCs/>
                <w:color w:val="C62828"/>
                <w:sz w:val="18"/>
                <w:szCs w:val="18"/>
              </w:rPr>
              <w:t xml:space="preserve">46</w:t>
            </w:r>
          </w:p>
        </w:tc>
        <w:tc>
          <w:tcPr>
            <w:tcW w:type="dxa" w:w="10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212121"/>
                <w:sz w:val="18"/>
                <w:szCs w:val="18"/>
              </w:rPr>
              <w:t xml:space="preserve">33.1%</w:t>
            </w:r>
          </w:p>
        </w:tc>
        <w:tc>
          <w:tcPr>
            <w:tcW w:type="dxa" w:w="228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color w:val="212121"/>
                <w:sz w:val="18"/>
                <w:szCs w:val="18"/>
              </w:rPr>
              <w:t xml:space="preserve">Gemini (35), Copilot (7), Codex (4)</w:t>
            </w:r>
          </w:p>
        </w:tc>
        <w:tc>
          <w:tcPr>
            <w:tcW w:type="dxa" w:w="228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color w:val="2E7D32"/>
                <w:sz w:val="18"/>
                <w:szCs w:val="18"/>
              </w:rPr>
              <w:t xml:space="preserve">Sí, con fallback</w:t>
            </w:r>
          </w:p>
        </w:tc>
      </w:tr>
      <w:tr>
        <w:tc>
          <w:tcPr>
            <w:tcW w:type="dxa" w:w="28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bCs/>
                <w:color w:val="212121"/>
                <w:sz w:val="18"/>
                <w:szCs w:val="18"/>
              </w:rPr>
              <w:t xml:space="preserve">Voting Rule Violations</w:t>
            </w:r>
          </w:p>
        </w:tc>
        <w:tc>
          <w:tcPr>
            <w:tcW w:type="dxa" w:w="10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b/>
                <w:bCs/>
                <w:color w:val="C62828"/>
                <w:sz w:val="18"/>
                <w:szCs w:val="18"/>
              </w:rPr>
              <w:t xml:space="preserve">47</w:t>
            </w:r>
          </w:p>
        </w:tc>
        <w:tc>
          <w:tcPr>
            <w:tcW w:type="dxa" w:w="10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212121"/>
                <w:sz w:val="18"/>
                <w:szCs w:val="18"/>
              </w:rPr>
              <w:t xml:space="preserve">33.8%</w:t>
            </w:r>
          </w:p>
        </w:tc>
        <w:tc>
          <w:tcPr>
            <w:tcW w:type="dxa" w:w="228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color w:val="212121"/>
                <w:sz w:val="18"/>
                <w:szCs w:val="18"/>
              </w:rPr>
              <w:t xml:space="preserve">Claude (27), Gemini (20)</w:t>
            </w:r>
          </w:p>
        </w:tc>
        <w:tc>
          <w:tcPr>
            <w:tcW w:type="dxa" w:w="228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color w:val="E65100"/>
                <w:sz w:val="18"/>
                <w:szCs w:val="18"/>
              </w:rPr>
              <w:t xml:space="preserve">No bloquea (report_only)</w:t>
            </w:r>
          </w:p>
        </w:tc>
      </w:tr>
      <w:tr>
        <w:tc>
          <w:tcPr>
            <w:tcW w:type="dxa" w:w="28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bCs/>
                <w:color w:val="212121"/>
                <w:sz w:val="18"/>
                <w:szCs w:val="18"/>
              </w:rPr>
              <w:t xml:space="preserve">Schema/Format Mismatch</w:t>
            </w:r>
          </w:p>
        </w:tc>
        <w:tc>
          <w:tcPr>
            <w:tcW w:type="dxa" w:w="10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E65100"/>
                <w:sz w:val="18"/>
                <w:szCs w:val="18"/>
              </w:rPr>
              <w:t xml:space="preserve">7</w:t>
            </w:r>
          </w:p>
        </w:tc>
        <w:tc>
          <w:tcPr>
            <w:tcW w:type="dxa" w:w="10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212121"/>
                <w:sz w:val="18"/>
                <w:szCs w:val="18"/>
              </w:rPr>
              <w:t xml:space="preserve">5.0%</w:t>
            </w:r>
          </w:p>
        </w:tc>
        <w:tc>
          <w:tcPr>
            <w:tcW w:type="dxa" w:w="228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color w:val="212121"/>
                <w:sz w:val="18"/>
                <w:szCs w:val="18"/>
              </w:rPr>
              <w:t xml:space="preserve">Claude (schema tipo incorrecto)</w:t>
            </w:r>
          </w:p>
        </w:tc>
        <w:tc>
          <w:tcPr>
            <w:tcW w:type="dxa" w:w="228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color w:val="2E7D32"/>
                <w:sz w:val="18"/>
                <w:szCs w:val="18"/>
              </w:rPr>
              <w:t xml:space="preserve">Sí, retry + fallback</w:t>
            </w:r>
          </w:p>
        </w:tc>
      </w:tr>
      <w:tr>
        <w:tc>
          <w:tcPr>
            <w:tcW w:type="dxa" w:w="28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bCs/>
                <w:color w:val="212121"/>
                <w:sz w:val="18"/>
                <w:szCs w:val="18"/>
              </w:rPr>
              <w:t xml:space="preserve">Data Quality Validation</w:t>
            </w:r>
          </w:p>
        </w:tc>
        <w:tc>
          <w:tcPr>
            <w:tcW w:type="dxa" w:w="10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E65100"/>
                <w:sz w:val="18"/>
                <w:szCs w:val="18"/>
              </w:rPr>
              <w:t xml:space="preserve">6</w:t>
            </w:r>
          </w:p>
        </w:tc>
        <w:tc>
          <w:tcPr>
            <w:tcW w:type="dxa" w:w="10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212121"/>
                <w:sz w:val="18"/>
                <w:szCs w:val="18"/>
              </w:rPr>
              <w:t xml:space="preserve">4.3%</w:t>
            </w:r>
          </w:p>
        </w:tc>
        <w:tc>
          <w:tcPr>
            <w:tcW w:type="dxa" w:w="228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color w:val="212121"/>
                <w:sz w:val="18"/>
                <w:szCs w:val="18"/>
              </w:rPr>
              <w:t xml:space="preserve">SOM (4), TEP (2)</w:t>
            </w:r>
          </w:p>
        </w:tc>
        <w:tc>
          <w:tcPr>
            <w:tcW w:type="dxa" w:w="228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color w:val="E65100"/>
                <w:sz w:val="18"/>
                <w:szCs w:val="18"/>
              </w:rPr>
              <w:t xml:space="preserve">Parcial (requiere datos)</w:t>
            </w:r>
          </w:p>
        </w:tc>
      </w:tr>
      <w:tr>
        <w:tc>
          <w:tcPr>
            <w:tcW w:type="dxa" w:w="28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bCs/>
                <w:color w:val="212121"/>
                <w:sz w:val="18"/>
                <w:szCs w:val="18"/>
              </w:rPr>
              <w:t xml:space="preserve">Output Generation Failure</w:t>
            </w:r>
          </w:p>
        </w:tc>
        <w:tc>
          <w:tcPr>
            <w:tcW w:type="dxa" w:w="10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212121"/>
                <w:sz w:val="18"/>
                <w:szCs w:val="18"/>
              </w:rPr>
              <w:t xml:space="preserve">2</w:t>
            </w:r>
          </w:p>
        </w:tc>
        <w:tc>
          <w:tcPr>
            <w:tcW w:type="dxa" w:w="10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212121"/>
                <w:sz w:val="18"/>
                <w:szCs w:val="18"/>
              </w:rPr>
              <w:t xml:space="preserve">1.4%</w:t>
            </w:r>
          </w:p>
        </w:tc>
        <w:tc>
          <w:tcPr>
            <w:tcW w:type="dxa" w:w="228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color w:val="212121"/>
                <w:sz w:val="18"/>
                <w:szCs w:val="18"/>
              </w:rPr>
              <w:t xml:space="preserve">Codex (IMPLIED en ACVA)</w:t>
            </w:r>
          </w:p>
        </w:tc>
        <w:tc>
          <w:tcPr>
            <w:tcW w:type="dxa" w:w="228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color w:val="C62828"/>
                <w:sz w:val="18"/>
                <w:szCs w:val="18"/>
              </w:rPr>
              <w:t xml:space="preserve">No (crash silencioso)</w:t>
            </w:r>
          </w:p>
        </w:tc>
      </w:tr>
      <w:tr>
        <w:tc>
          <w:tcPr>
            <w:tcW w:type="dxa" w:w="28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bCs/>
                <w:color w:val="212121"/>
                <w:sz w:val="18"/>
                <w:szCs w:val="18"/>
              </w:rPr>
              <w:t xml:space="preserve">JSON Parse / Truncation</w:t>
            </w:r>
          </w:p>
        </w:tc>
        <w:tc>
          <w:tcPr>
            <w:tcW w:type="dxa" w:w="10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b/>
                <w:bCs/>
                <w:color w:val="E65100"/>
                <w:sz w:val="18"/>
                <w:szCs w:val="18"/>
              </w:rPr>
              <w:t xml:space="preserve">31</w:t>
            </w:r>
          </w:p>
        </w:tc>
        <w:tc>
          <w:tcPr>
            <w:tcW w:type="dxa" w:w="10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212121"/>
                <w:sz w:val="18"/>
                <w:szCs w:val="18"/>
              </w:rPr>
              <w:t xml:space="preserve">22.3%</w:t>
            </w:r>
          </w:p>
        </w:tc>
        <w:tc>
          <w:tcPr>
            <w:tcW w:type="dxa" w:w="228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color w:val="212121"/>
                <w:sz w:val="18"/>
                <w:szCs w:val="18"/>
              </w:rPr>
              <w:t xml:space="preserve">Todos los modelos</w:t>
            </w:r>
          </w:p>
        </w:tc>
        <w:tc>
          <w:tcPr>
            <w:tcW w:type="dxa" w:w="228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color w:val="2E7D32"/>
                <w:sz w:val="18"/>
                <w:szCs w:val="18"/>
              </w:rPr>
              <w:t xml:space="preserve">Sí, cascade recovery</w:t>
            </w:r>
          </w:p>
        </w:tc>
      </w:tr>
    </w:tbl>
    <w:p>
      <w:pPr>
        <w:spacing w:after="120"/>
      </w:pPr>
      <w:r>
        <w:rPr>
          <w:rFonts w:ascii="Arial" w:cs="Arial" w:eastAsia="Arial" w:hAnsi="Arial"/>
          <w:color w:val="212121"/>
          <w:sz w:val="22"/>
          <w:szCs w:val="22"/>
        </w:rPr>
        <w:t xml:space="preserve"/>
      </w:r>
    </w:p>
    <w:p>
      <w:pPr>
        <w:pStyle w:val="Heading2"/>
      </w:pPr>
      <w:r>
        <w:rPr>
          <w:rFonts w:ascii="Arial" w:cs="Arial" w:eastAsia="Arial" w:hAnsi="Arial"/>
        </w:rPr>
        <w:t xml:space="preserve">5.2 Errores Críticos Detallados</w:t>
      </w:r>
    </w:p>
    <w:p>
      <w:pPr>
        <w:spacing w:after="120"/>
      </w:pPr>
      <w:r>
        <w:rPr>
          <w:rFonts w:ascii="Arial" w:cs="Arial" w:eastAsia="Arial" w:hAnsi="Arial"/>
          <w:b/>
          <w:bCs/>
          <w:color w:val="C62828"/>
          <w:sz w:val="22"/>
          <w:szCs w:val="22"/>
        </w:rPr>
        <w:t xml:space="preserve">Error #1: Gemini HTTP 429 Rate Limiting (35 eventos)</w:t>
      </w:r>
    </w:p>
    <w:p>
      <w:pPr>
        <w:spacing w:after="120"/>
      </w:pPr>
      <w:r>
        <w:rPr>
          <w:rFonts w:ascii="Arial" w:cs="Arial" w:eastAsia="Arial" w:hAnsi="Arial"/>
          <w:color w:val="212121"/>
          <w:sz w:val="22"/>
          <w:szCs w:val="22"/>
        </w:rPr>
        <w:t xml:space="preserve">Cuando el pipeline ejecuta pasos multi-modelo en paralelo, Gemini alcanza límites de tasa de la API. Esto causó cascadas de fallos en CATALYST_DETECTION y FORENSIC_DETECTION en las ejecuciones del 20-21 febrero. El sistema de fallback a Copilot mitiga el problema, pero el fallback en sí tiene latencia adicional de 30-60 segundos.</w:t>
      </w:r>
    </w:p>
    <w:p>
      <w:pPr>
        <w:spacing w:after="120"/>
      </w:pPr>
      <w:r>
        <w:rPr>
          <w:rFonts w:ascii="Arial" w:cs="Arial" w:eastAsia="Arial" w:hAnsi="Arial"/>
          <w:b/>
          <w:bCs/>
          <w:color w:val="C62828"/>
          <w:sz w:val="22"/>
          <w:szCs w:val="22"/>
        </w:rPr>
        <w:t xml:space="preserve">Error #2: Claude genera schema incorrecto en ARBITRO (7 eventos)</w:t>
      </w:r>
    </w:p>
    <w:p>
      <w:pPr>
        <w:spacing w:after="120"/>
      </w:pPr>
      <w:r>
        <w:rPr>
          <w:rFonts w:ascii="Arial" w:cs="Arial" w:eastAsia="Arial" w:hAnsi="Arial"/>
          <w:color w:val="212121"/>
          <w:sz w:val="22"/>
          <w:szCs w:val="22"/>
        </w:rPr>
        <w:t xml:space="preserve">Claude Opus genera AgentReport_v1 en lugar de DecisionPacket_v2 en el paso ARBITRO. También omite campos críticos como 'decision', 'gates' y 'probabilidad'. Este error es sistemático y no se resuelve con retry — requiere ajuste de instrucciones o cambio de modelo para este paso específico.</w:t>
      </w:r>
    </w:p>
    <w:p>
      <w:pPr>
        <w:spacing w:after="120"/>
      </w:pPr>
      <w:r>
        <w:rPr>
          <w:rFonts w:ascii="Arial" w:cs="Arial" w:eastAsia="Arial" w:hAnsi="Arial"/>
          <w:b/>
          <w:bCs/>
          <w:color w:val="C62828"/>
          <w:sz w:val="22"/>
          <w:szCs w:val="22"/>
        </w:rPr>
        <w:t xml:space="preserve">Error #3: Codex crash silencioso en IMPLIED (2 eventos)</w:t>
      </w:r>
    </w:p>
    <w:p>
      <w:pPr>
        <w:spacing w:after="120"/>
      </w:pPr>
      <w:r>
        <w:rPr>
          <w:rFonts w:ascii="Arial" w:cs="Arial" w:eastAsia="Arial" w:hAnsi="Arial"/>
          <w:color w:val="212121"/>
          <w:sz w:val="22"/>
          <w:szCs w:val="22"/>
        </w:rPr>
        <w:t xml:space="preserve">En el caso ACVA, Codex ejecuta el paso IMPLIED en solo 2.3 segundos sin producir archivo de salida. No hay stderr ni log de error. Probablemente un crash por truncamiento del contexto de entrada o un error de memoria. Al ser silencioso, el pipeline no puede diagnosticar la causa automáticamente.</w:t>
      </w:r>
    </w:p>
    <w:p>
      <w:pPr>
        <w:spacing w:after="120"/>
      </w:pPr>
      <w:r>
        <w:rPr>
          <w:rFonts w:ascii="Arial" w:cs="Arial" w:eastAsia="Arial" w:hAnsi="Arial"/>
          <w:b/>
          <w:bCs/>
          <w:color w:val="E65100"/>
          <w:sz w:val="22"/>
          <w:szCs w:val="22"/>
        </w:rPr>
        <w:t xml:space="preserve">Error #4: SOM TruthPack failures consecutivos (4 eventos)</w:t>
      </w:r>
    </w:p>
    <w:p>
      <w:pPr>
        <w:spacing w:after="120"/>
      </w:pPr>
      <w:r>
        <w:rPr>
          <w:rFonts w:ascii="Arial" w:cs="Arial" w:eastAsia="Arial" w:hAnsi="Arial"/>
          <w:color w:val="212121"/>
          <w:sz w:val="22"/>
          <w:szCs w:val="22"/>
        </w:rPr>
        <w:t xml:space="preserve">El caso SOM falló 3 veces consecutivas en TP_VALIDATOR con confianza 55-75%, siempre por falta de market_cap_usd y filing paths incompletos. Eventualmente se resolvió tras limpieza manual de datos, pero el pipeline no tiene mecanismo automático de recopilación de datos faltantes.</w:t>
      </w:r>
    </w:p>
    <w:p>
      <w:pPr>
        <w:pStyle w:val="Heading2"/>
      </w:pPr>
      <w:r>
        <w:rPr>
          <w:rFonts w:ascii="Arial" w:cs="Arial" w:eastAsia="Arial" w:hAnsi="Arial"/>
        </w:rPr>
        <w:t xml:space="preserve">5.3 Cadenas de Propagación de Errores</w:t>
      </w:r>
    </w:p>
    <w:p>
      <w:pPr>
        <w:spacing w:after="120"/>
      </w:pPr>
      <w:r>
        <w:rPr>
          <w:rFonts w:ascii="Arial" w:cs="Arial" w:eastAsia="Arial" w:hAnsi="Arial"/>
          <w:color w:val="212121"/>
          <w:sz w:val="22"/>
          <w:szCs w:val="22"/>
        </w:rPr>
        <w:t xml:space="preserve">Los errores no son aislados: un fallo temprano en el pipeline tiene efectos en cascada en pasos posteriores. Los patrones de propagación detectados son:</w:t>
      </w:r>
    </w:p>
    <w:p>
      <w:pPr>
        <w:pStyle w:val="ListParagraph"/>
        <w:numPr>
          <w:ilvl w:val="0"/>
          <w:numId w:val="3"/>
        </w:numPr>
        <w:spacing w:after="60"/>
      </w:pPr>
      <w:r>
        <w:rPr>
          <w:rFonts w:ascii="Arial" w:cs="Arial" w:eastAsia="Arial" w:hAnsi="Arial"/>
          <w:sz w:val="20"/>
          <w:szCs w:val="20"/>
        </w:rPr>
        <w:t xml:space="preserve">PREFETCH falla para datos no-US → SOURCES_COMPILER produce pack incompleto → TP_EXTRACTOR genera TruthPack parcial → TP_VALIDATOR rechaza (conf. &lt;60%) → Pipeline se detiene (fail_fast=true)</w:t>
      </w:r>
    </w:p>
    <w:p>
      <w:pPr>
        <w:pStyle w:val="ListParagraph"/>
        <w:numPr>
          <w:ilvl w:val="0"/>
          <w:numId w:val="3"/>
        </w:numPr>
        <w:spacing w:after="60"/>
      </w:pPr>
      <w:r>
        <w:rPr>
          <w:rFonts w:ascii="Arial" w:cs="Arial" w:eastAsia="Arial" w:hAnsi="Arial"/>
          <w:sz w:val="20"/>
          <w:szCs w:val="20"/>
        </w:rPr>
        <w:t xml:space="preserve">Gemini 429 en CATALYST_DETECTION → solo 2 de 3 modelos producen output → CATALYST_SCORING recibe input incompleto → Score de catalizador penalizado → ARBITRO recibe signal débil → Decisión conservadora (WATCHLIST)</w:t>
      </w:r>
    </w:p>
    <w:p>
      <w:pPr>
        <w:pStyle w:val="ListParagraph"/>
        <w:numPr>
          <w:ilvl w:val="0"/>
          <w:numId w:val="3"/>
        </w:numPr>
        <w:spacing w:after="60"/>
      </w:pPr>
      <w:r>
        <w:rPr>
          <w:rFonts w:ascii="Arial" w:cs="Arial" w:eastAsia="Arial" w:hAnsi="Arial"/>
          <w:sz w:val="20"/>
          <w:szCs w:val="20"/>
        </w:rPr>
        <w:t xml:space="preserve">TEP URL incorrecta en PREFETCH → Sources con empresa equivocada → TP_EXTRACTOR extrae datos de Teleperformance → TP_VALIDATOR detecta inconsistencia → Pipeline bloqueado sin recovery posible</w:t>
      </w:r>
    </w:p>
    <w:p>
      <w:r>
        <w:br w:type="page"/>
      </w:r>
    </w:p>
    <w:p>
      <w:pPr>
        <w:pStyle w:val="Heading1"/>
      </w:pPr>
      <w:r>
        <w:rPr>
          <w:rFonts w:ascii="Arial" w:cs="Arial" w:eastAsia="Arial" w:hAnsi="Arial"/>
        </w:rPr>
        <w:t xml:space="preserve">6. ANÁLISIS DEL SISTEMA MULTI-MODELO</w:t>
      </w:r>
    </w:p>
    <w:p>
      <w:pPr>
        <w:pStyle w:val="Heading2"/>
      </w:pPr>
      <w:r>
        <w:rPr>
          <w:rFonts w:ascii="Arial" w:cs="Arial" w:eastAsia="Arial" w:hAnsi="Arial"/>
        </w:rPr>
        <w:t xml:space="preserve">6.1 Matriz de Rendimiento por Modelo y Paso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740"/>
        <w:gridCol w:w="1740"/>
        <w:gridCol w:w="1800"/>
        <w:gridCol w:w="1740"/>
      </w:tblGrid>
      <w:tr>
        <w:tc>
          <w:tcPr>
            <w:tcW w:type="dxa" w:w="234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Paso</w:t>
            </w:r>
          </w:p>
        </w:tc>
        <w:tc>
          <w:tcPr>
            <w:tcW w:type="dxa" w:w="174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Codex</w:t>
            </w:r>
          </w:p>
        </w:tc>
        <w:tc>
          <w:tcPr>
            <w:tcW w:type="dxa" w:w="174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Claude</w:t>
            </w:r>
          </w:p>
        </w:tc>
        <w:tc>
          <w:tcPr>
            <w:tcW w:type="dxa" w:w="18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Gemini</w:t>
            </w:r>
          </w:p>
        </w:tc>
        <w:tc>
          <w:tcPr>
            <w:tcW w:type="dxa" w:w="174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Fusión</w:t>
            </w:r>
          </w:p>
        </w:tc>
      </w:tr>
      <w:tr>
        <w:tc>
          <w:tcPr>
            <w:tcW w:type="dxa" w:w="234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bCs/>
                <w:color w:val="212121"/>
                <w:sz w:val="18"/>
                <w:szCs w:val="18"/>
              </w:rPr>
              <w:t xml:space="preserve">CATALYST_DETECTION</w:t>
            </w:r>
          </w:p>
        </w:tc>
        <w:tc>
          <w:tcPr>
            <w:tcW w:type="dxa" w:w="174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212121"/>
                <w:sz w:val="18"/>
                <w:szCs w:val="18"/>
              </w:rPr>
              <w:t xml:space="preserve">99.80</w:t>
            </w:r>
          </w:p>
        </w:tc>
        <w:tc>
          <w:tcPr>
            <w:tcW w:type="dxa" w:w="174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212121"/>
                <w:sz w:val="18"/>
                <w:szCs w:val="18"/>
              </w:rPr>
              <w:t xml:space="preserve">99.80</w:t>
            </w:r>
          </w:p>
        </w:tc>
        <w:tc>
          <w:tcPr>
            <w:tcW w:type="dxa" w:w="18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212121"/>
                <w:sz w:val="18"/>
                <w:szCs w:val="18"/>
              </w:rPr>
              <w:t xml:space="preserve">99.80</w:t>
            </w:r>
          </w:p>
        </w:tc>
        <w:tc>
          <w:tcPr>
            <w:tcW w:type="dxa" w:w="174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212121"/>
                <w:sz w:val="18"/>
                <w:szCs w:val="18"/>
              </w:rPr>
              <w:t xml:space="preserve">99.80</w:t>
            </w:r>
          </w:p>
        </w:tc>
      </w:tr>
      <w:tr>
        <w:tc>
          <w:tcPr>
            <w:tcW w:type="dxa" w:w="234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bCs/>
                <w:color w:val="212121"/>
                <w:sz w:val="18"/>
                <w:szCs w:val="18"/>
              </w:rPr>
              <w:t xml:space="preserve">CATALYST_SCORING</w:t>
            </w:r>
          </w:p>
        </w:tc>
        <w:tc>
          <w:tcPr>
            <w:tcW w:type="dxa" w:w="174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212121"/>
                <w:sz w:val="18"/>
                <w:szCs w:val="18"/>
              </w:rPr>
              <w:t xml:space="preserve">99.80</w:t>
            </w:r>
          </w:p>
        </w:tc>
        <w:tc>
          <w:tcPr>
            <w:tcW w:type="dxa" w:w="174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212121"/>
                <w:sz w:val="18"/>
                <w:szCs w:val="18"/>
              </w:rPr>
              <w:t xml:space="preserve">99.80</w:t>
            </w:r>
          </w:p>
        </w:tc>
        <w:tc>
          <w:tcPr>
            <w:tcW w:type="dxa" w:w="18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b/>
                <w:bCs/>
                <w:color w:val="2E7D32"/>
                <w:sz w:val="18"/>
                <w:szCs w:val="18"/>
              </w:rPr>
              <w:t xml:space="preserve">100.0</w:t>
            </w:r>
          </w:p>
        </w:tc>
        <w:tc>
          <w:tcPr>
            <w:tcW w:type="dxa" w:w="174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212121"/>
                <w:sz w:val="18"/>
                <w:szCs w:val="18"/>
              </w:rPr>
              <w:t xml:space="preserve">99.87</w:t>
            </w:r>
          </w:p>
        </w:tc>
      </w:tr>
      <w:tr>
        <w:tc>
          <w:tcPr>
            <w:tcW w:type="dxa" w:w="234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bCs/>
                <w:color w:val="212121"/>
                <w:sz w:val="18"/>
                <w:szCs w:val="18"/>
              </w:rPr>
              <w:t xml:space="preserve">FORENSIC_DETECTION</w:t>
            </w:r>
          </w:p>
        </w:tc>
        <w:tc>
          <w:tcPr>
            <w:tcW w:type="dxa" w:w="174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212121"/>
                <w:sz w:val="18"/>
                <w:szCs w:val="18"/>
              </w:rPr>
              <w:t xml:space="preserve">99.80</w:t>
            </w:r>
          </w:p>
        </w:tc>
        <w:tc>
          <w:tcPr>
            <w:tcW w:type="dxa" w:w="174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212121"/>
                <w:sz w:val="18"/>
                <w:szCs w:val="18"/>
              </w:rPr>
              <w:t xml:space="preserve">99.80</w:t>
            </w:r>
          </w:p>
        </w:tc>
        <w:tc>
          <w:tcPr>
            <w:tcW w:type="dxa" w:w="18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b/>
                <w:bCs/>
                <w:color w:val="2E7D32"/>
                <w:sz w:val="18"/>
                <w:szCs w:val="18"/>
              </w:rPr>
              <w:t xml:space="preserve">100.0</w:t>
            </w:r>
          </w:p>
        </w:tc>
        <w:tc>
          <w:tcPr>
            <w:tcW w:type="dxa" w:w="174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212121"/>
                <w:sz w:val="18"/>
                <w:szCs w:val="18"/>
              </w:rPr>
              <w:t xml:space="preserve">99.87</w:t>
            </w:r>
          </w:p>
        </w:tc>
      </w:tr>
      <w:tr>
        <w:tc>
          <w:tcPr>
            <w:tcW w:type="dxa" w:w="234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bCs/>
                <w:color w:val="212121"/>
                <w:sz w:val="18"/>
                <w:szCs w:val="18"/>
              </w:rPr>
              <w:t xml:space="preserve">FORENSIC_SCORING</w:t>
            </w:r>
          </w:p>
        </w:tc>
        <w:tc>
          <w:tcPr>
            <w:tcW w:type="dxa" w:w="174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C62828"/>
                <w:sz w:val="18"/>
                <w:szCs w:val="18"/>
              </w:rPr>
              <w:t xml:space="preserve">65.58*</w:t>
            </w:r>
          </w:p>
        </w:tc>
        <w:tc>
          <w:tcPr>
            <w:tcW w:type="dxa" w:w="174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212121"/>
                <w:sz w:val="18"/>
                <w:szCs w:val="18"/>
              </w:rPr>
              <w:t xml:space="preserve">99.80</w:t>
            </w:r>
          </w:p>
        </w:tc>
        <w:tc>
          <w:tcPr>
            <w:tcW w:type="dxa" w:w="18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212121"/>
                <w:sz w:val="18"/>
                <w:szCs w:val="18"/>
              </w:rPr>
              <w:t xml:space="preserve">99.80</w:t>
            </w:r>
          </w:p>
        </w:tc>
        <w:tc>
          <w:tcPr>
            <w:tcW w:type="dxa" w:w="174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212121"/>
                <w:sz w:val="18"/>
                <w:szCs w:val="18"/>
              </w:rPr>
              <w:t xml:space="preserve">88.39</w:t>
            </w:r>
          </w:p>
        </w:tc>
      </w:tr>
      <w:tr>
        <w:tc>
          <w:tcPr>
            <w:tcW w:type="dxa" w:w="234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bCs/>
                <w:color w:val="212121"/>
                <w:sz w:val="18"/>
                <w:szCs w:val="18"/>
              </w:rPr>
              <w:t xml:space="preserve">BULL</w:t>
            </w:r>
          </w:p>
        </w:tc>
        <w:tc>
          <w:tcPr>
            <w:tcW w:type="dxa" w:w="174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2E7D32"/>
                <w:sz w:val="18"/>
                <w:szCs w:val="18"/>
              </w:rPr>
              <w:t xml:space="preserve">100.0</w:t>
            </w:r>
          </w:p>
        </w:tc>
        <w:tc>
          <w:tcPr>
            <w:tcW w:type="dxa" w:w="174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212121"/>
                <w:sz w:val="18"/>
                <w:szCs w:val="18"/>
              </w:rPr>
              <w:t xml:space="preserve">98.30</w:t>
            </w:r>
          </w:p>
        </w:tc>
        <w:tc>
          <w:tcPr>
            <w:tcW w:type="dxa" w:w="18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2E7D32"/>
                <w:sz w:val="18"/>
                <w:szCs w:val="18"/>
              </w:rPr>
              <w:t xml:space="preserve">100.0</w:t>
            </w:r>
          </w:p>
        </w:tc>
        <w:tc>
          <w:tcPr>
            <w:tcW w:type="dxa" w:w="174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212121"/>
                <w:sz w:val="18"/>
                <w:szCs w:val="18"/>
              </w:rPr>
              <w:t xml:space="preserve">99.43</w:t>
            </w:r>
          </w:p>
        </w:tc>
      </w:tr>
      <w:tr>
        <w:tc>
          <w:tcPr>
            <w:tcW w:type="dxa" w:w="234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bCs/>
                <w:color w:val="212121"/>
                <w:sz w:val="18"/>
                <w:szCs w:val="18"/>
              </w:rPr>
              <w:t xml:space="preserve">RED_TEAM</w:t>
            </w:r>
          </w:p>
        </w:tc>
        <w:tc>
          <w:tcPr>
            <w:tcW w:type="dxa" w:w="174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2E7D32"/>
                <w:sz w:val="18"/>
                <w:szCs w:val="18"/>
              </w:rPr>
              <w:t xml:space="preserve">100.0</w:t>
            </w:r>
          </w:p>
        </w:tc>
        <w:tc>
          <w:tcPr>
            <w:tcW w:type="dxa" w:w="174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212121"/>
                <w:sz w:val="18"/>
                <w:szCs w:val="18"/>
              </w:rPr>
              <w:t xml:space="preserve">99.80</w:t>
            </w:r>
          </w:p>
        </w:tc>
        <w:tc>
          <w:tcPr>
            <w:tcW w:type="dxa" w:w="18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2E7D32"/>
                <w:sz w:val="18"/>
                <w:szCs w:val="18"/>
              </w:rPr>
              <w:t xml:space="preserve">100.0</w:t>
            </w:r>
          </w:p>
        </w:tc>
        <w:tc>
          <w:tcPr>
            <w:tcW w:type="dxa" w:w="174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212121"/>
                <w:sz w:val="18"/>
                <w:szCs w:val="18"/>
              </w:rPr>
              <w:t xml:space="preserve">99.93</w:t>
            </w:r>
          </w:p>
        </w:tc>
      </w:tr>
      <w:tr>
        <w:tc>
          <w:tcPr>
            <w:tcW w:type="dxa" w:w="234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b/>
                <w:bCs/>
                <w:color w:val="C62828"/>
                <w:sz w:val="18"/>
                <w:szCs w:val="18"/>
              </w:rPr>
              <w:t xml:space="preserve">ARBITRO</w:t>
            </w:r>
          </w:p>
        </w:tc>
        <w:tc>
          <w:tcPr>
            <w:tcW w:type="dxa" w:w="174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b/>
                <w:bCs/>
                <w:color w:val="2E7D32"/>
                <w:sz w:val="18"/>
                <w:szCs w:val="18"/>
              </w:rPr>
              <w:t xml:space="preserve">96.65</w:t>
            </w:r>
          </w:p>
        </w:tc>
        <w:tc>
          <w:tcPr>
            <w:tcW w:type="dxa" w:w="174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b/>
                <w:bCs/>
                <w:color w:val="C62828"/>
                <w:sz w:val="18"/>
                <w:szCs w:val="18"/>
              </w:rPr>
              <w:t xml:space="preserve">86.37</w:t>
            </w:r>
          </w:p>
        </w:tc>
        <w:tc>
          <w:tcPr>
            <w:tcW w:type="dxa" w:w="18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212121"/>
                <w:sz w:val="18"/>
                <w:szCs w:val="18"/>
              </w:rPr>
              <w:t xml:space="preserve">93.27</w:t>
            </w:r>
          </w:p>
        </w:tc>
        <w:tc>
          <w:tcPr>
            <w:tcW w:type="dxa" w:w="174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212121"/>
                <w:sz w:val="18"/>
                <w:szCs w:val="18"/>
              </w:rPr>
              <w:t xml:space="preserve">92.10</w:t>
            </w:r>
          </w:p>
        </w:tc>
      </w:tr>
    </w:tbl>
    <w:p>
      <w:pPr>
        <w:spacing w:after="120"/>
      </w:pPr>
      <w:r>
        <w:rPr>
          <w:rFonts w:ascii="Arial" w:cs="Arial" w:eastAsia="Arial" w:hAnsi="Arial"/>
          <w:i/>
          <w:iCs/>
          <w:color w:val="212121"/>
          <w:sz w:val="18"/>
          <w:szCs w:val="18"/>
        </w:rPr>
        <w:t xml:space="preserve">* Outlier aislado de Codex en FORENSIC_SCORING (1 de 9 votos); Claude tiene problema sistemático en ARBITRO (3 de 9 votos &lt;80).</w:t>
      </w:r>
    </w:p>
    <w:p>
      <w:pPr>
        <w:spacing w:after="120"/>
      </w:pPr>
      <w:r>
        <w:rPr>
          <w:rFonts w:ascii="Arial" w:cs="Arial" w:eastAsia="Arial" w:hAnsi="Arial"/>
          <w:color w:val="212121"/>
          <w:sz w:val="22"/>
          <w:szCs w:val="22"/>
        </w:rPr>
        <w:t xml:space="preserve"/>
      </w:r>
    </w:p>
    <w:p>
      <w:pPr>
        <w:pStyle w:val="Heading2"/>
      </w:pPr>
      <w:r>
        <w:rPr>
          <w:rFonts w:ascii="Arial" w:cs="Arial" w:eastAsia="Arial" w:hAnsi="Arial"/>
        </w:rPr>
        <w:t xml:space="preserve">6.2 Hallazgos del Sistema de Votación</w:t>
      </w:r>
    </w:p>
    <w:p>
      <w:pPr>
        <w:spacing w:after="120"/>
      </w:pPr>
      <w:r>
        <w:rPr>
          <w:rFonts w:ascii="Arial" w:cs="Arial" w:eastAsia="Arial" w:hAnsi="Arial"/>
          <w:b/>
          <w:bCs/>
          <w:color w:val="2E7D32"/>
          <w:sz w:val="22"/>
          <w:szCs w:val="22"/>
        </w:rPr>
        <w:t xml:space="preserve">Calidad global: 94.2/100 (Grade A)</w:t>
      </w:r>
    </w:p>
    <w:p>
      <w:pPr>
        <w:pStyle w:val="ListParagraph"/>
        <w:numPr>
          <w:ilvl w:val="0"/>
          <w:numId w:val="2"/>
        </w:numPr>
        <w:spacing w:after="60"/>
      </w:pPr>
      <w:r>
        <w:rPr>
          <w:rFonts w:ascii="Arial" w:cs="Arial" w:eastAsia="Arial" w:hAnsi="Arial"/>
          <w:sz w:val="20"/>
          <w:szCs w:val="20"/>
        </w:rPr>
        <w:t xml:space="preserve">Pérdida de información en fusión: CERO — matemáticamente verificado en 604 votos (el score de fusión nunca es inferior al mínimo de los modelos individuales)</w:t>
      </w:r>
    </w:p>
    <w:p>
      <w:pPr>
        <w:pStyle w:val="ListParagraph"/>
        <w:numPr>
          <w:ilvl w:val="0"/>
          <w:numId w:val="2"/>
        </w:numPr>
        <w:spacing w:after="60"/>
      </w:pPr>
      <w:r>
        <w:rPr>
          <w:rFonts w:ascii="Arial" w:cs="Arial" w:eastAsia="Arial" w:hAnsi="Arial"/>
          <w:sz w:val="20"/>
          <w:szCs w:val="20"/>
        </w:rPr>
        <w:t xml:space="preserve">Consenso fuerte: CV (coeficiente de variación) &lt;5% en 4 de 7 pasos principales</w:t>
      </w:r>
    </w:p>
    <w:p>
      <w:pPr>
        <w:pStyle w:val="ListParagraph"/>
        <w:numPr>
          <w:ilvl w:val="0"/>
          <w:numId w:val="2"/>
        </w:numPr>
        <w:spacing w:after="60"/>
      </w:pPr>
      <w:r>
        <w:rPr>
          <w:rFonts w:ascii="Arial" w:cs="Arial" w:eastAsia="Arial" w:hAnsi="Arial"/>
          <w:sz w:val="20"/>
          <w:szCs w:val="20"/>
        </w:rPr>
        <w:t xml:space="preserve">Sistema determinista y auditable: sin juez LLM, log inmutable append-only</w:t>
      </w:r>
    </w:p>
    <w:p>
      <w:pPr>
        <w:spacing w:after="120"/>
      </w:pPr>
      <w:r>
        <w:rPr>
          <w:rFonts w:ascii="Arial" w:cs="Arial" w:eastAsia="Arial" w:hAnsi="Arial"/>
          <w:b/>
          <w:bCs/>
          <w:color w:val="E65100"/>
          <w:sz w:val="22"/>
          <w:szCs w:val="22"/>
        </w:rPr>
        <w:t xml:space="preserve">Debilidades identificadas:</w:t>
      </w:r>
    </w:p>
    <w:p>
      <w:pPr>
        <w:pStyle w:val="ListParagraph"/>
        <w:numPr>
          <w:ilvl w:val="0"/>
          <w:numId w:val="2"/>
        </w:numPr>
        <w:spacing w:after="60"/>
      </w:pPr>
      <w:r>
        <w:rPr>
          <w:rFonts w:ascii="Arial" w:cs="Arial" w:eastAsia="Arial" w:hAnsi="Arial"/>
          <w:sz w:val="20"/>
          <w:szCs w:val="20"/>
        </w:rPr>
        <w:t xml:space="preserve">Tamaño muestral insuficiente: solo 1 de 21 pares modelo/paso supera el umbral de n≥20 para significancia estadística</w:t>
      </w:r>
    </w:p>
    <w:p>
      <w:pPr>
        <w:pStyle w:val="ListParagraph"/>
        <w:numPr>
          <w:ilvl w:val="0"/>
          <w:numId w:val="2"/>
        </w:numPr>
        <w:spacing w:after="60"/>
      </w:pPr>
      <w:r>
        <w:rPr>
          <w:rFonts w:ascii="Arial" w:cs="Arial" w:eastAsia="Arial" w:hAnsi="Arial"/>
          <w:sz w:val="20"/>
          <w:szCs w:val="20"/>
        </w:rPr>
        <w:t xml:space="preserve">Claude ARBITRO: 33% de fallos por campos críticos faltantes (decision, gates, probabilidad)</w:t>
      </w:r>
    </w:p>
    <w:p>
      <w:pPr>
        <w:pStyle w:val="ListParagraph"/>
        <w:numPr>
          <w:ilvl w:val="0"/>
          <w:numId w:val="2"/>
        </w:numPr>
        <w:spacing w:after="60"/>
      </w:pPr>
      <w:r>
        <w:rPr>
          <w:rFonts w:ascii="Arial" w:cs="Arial" w:eastAsia="Arial" w:hAnsi="Arial"/>
          <w:sz w:val="20"/>
          <w:szCs w:val="20"/>
        </w:rPr>
        <w:t xml:space="preserve">Gemini schema strictness: falla en propiedades '$schema' estándar JSON, causando distribución bimodal 66.67/100.0</w:t>
      </w:r>
    </w:p>
    <w:p>
      <w:r>
        <w:br w:type="page"/>
      </w:r>
    </w:p>
    <w:p>
      <w:pPr>
        <w:pStyle w:val="Heading1"/>
      </w:pPr>
      <w:r>
        <w:rPr>
          <w:rFonts w:ascii="Arial" w:cs="Arial" w:eastAsia="Arial" w:hAnsi="Arial"/>
        </w:rPr>
        <w:t xml:space="preserve">7. PROBLEMAS DE ROBUSTEZ DEL PIPELINE</w:t>
      </w:r>
    </w:p>
    <w:p>
      <w:pPr>
        <w:pStyle w:val="Heading2"/>
      </w:pPr>
      <w:r>
        <w:rPr>
          <w:rFonts w:ascii="Arial" w:cs="Arial" w:eastAsia="Arial" w:hAnsi="Arial"/>
        </w:rPr>
        <w:t xml:space="preserve">7.1 Problemas Críticos (requieren acción inmediata)</w:t>
      </w:r>
    </w:p>
    <w:p>
      <w:pPr>
        <w:pStyle w:val="ListParagraph"/>
        <w:numPr>
          <w:ilvl w:val="0"/>
          <w:numId w:val="4"/>
        </w:numPr>
        <w:spacing w:after="60"/>
      </w:pPr>
      <w:r>
        <w:rPr>
          <w:rFonts w:ascii="Arial" w:cs="Arial" w:eastAsia="Arial" w:hAnsi="Arial"/>
          <w:sz w:val="20"/>
          <w:szCs w:val="20"/>
        </w:rPr>
        <w:t xml:space="preserve">Rutas de binarios hardcodeadas a macOS: /opt/homebrew/bin/codex, /opt/homebrew/bin/gemini. Esto imposibilita despliegue en Linux, Docker o CI/CD. Solución: usar PATH del sistema o configuración de variables de entorno.</w:t>
      </w:r>
    </w:p>
    <w:p>
      <w:pPr>
        <w:pStyle w:val="ListParagraph"/>
        <w:numPr>
          <w:ilvl w:val="0"/>
          <w:numId w:val="4"/>
        </w:numPr>
        <w:spacing w:after="60"/>
      </w:pPr>
      <w:r>
        <w:rPr>
          <w:rFonts w:ascii="Arial" w:cs="Arial" w:eastAsia="Arial" w:hAnsi="Arial"/>
          <w:sz w:val="20"/>
          <w:szCs w:val="20"/>
        </w:rPr>
        <w:t xml:space="preserve">Sin validación de identidad corporativa: el caso TEP demuestra que una URL incorrecta de IR puede inyectar datos de una empresa completamente diferente sin que el pipeline lo detecte hasta TP_VALIDATOR. Solución: validar nombre de empresa contra registros oficiales del exchange.</w:t>
      </w:r>
    </w:p>
    <w:p>
      <w:pPr>
        <w:pStyle w:val="ListParagraph"/>
        <w:numPr>
          <w:ilvl w:val="0"/>
          <w:numId w:val="4"/>
        </w:numPr>
        <w:spacing w:after="60"/>
      </w:pPr>
      <w:r>
        <w:rPr>
          <w:rFonts w:ascii="Arial" w:cs="Arial" w:eastAsia="Arial" w:hAnsi="Arial"/>
          <w:sz w:val="20"/>
          <w:szCs w:val="20"/>
        </w:rPr>
        <w:t xml:space="preserve">Truncamiento de prompts puede romper JSON: el truncamiento naive por conteo de caracteres (200K límite) no verifica que la estructura JSON siga siendo válida tras el corte. Puede generar artefactos con '... [TRUNCATED]' en medio de un objeto JSON.</w:t>
      </w:r>
    </w:p>
    <w:p>
      <w:pPr>
        <w:pStyle w:val="ListParagraph"/>
        <w:numPr>
          <w:ilvl w:val="0"/>
          <w:numId w:val="4"/>
        </w:numPr>
        <w:spacing w:after="60"/>
      </w:pPr>
      <w:r>
        <w:rPr>
          <w:rFonts w:ascii="Arial" w:cs="Arial" w:eastAsia="Arial" w:hAnsi="Arial"/>
          <w:sz w:val="20"/>
          <w:szCs w:val="20"/>
        </w:rPr>
        <w:t xml:space="preserve">Auth cache TTL desalineado: Claude cachea auth exitoso por 10 min pero el token puede expirar en 5 min. No hay verificación de expiración post-cache. Resultado: llamadas con token expirado que fallan sin retry.</w:t>
      </w:r>
    </w:p>
    <w:p>
      <w:pPr>
        <w:pStyle w:val="ListParagraph"/>
        <w:numPr>
          <w:ilvl w:val="0"/>
          <w:numId w:val="4"/>
        </w:numPr>
        <w:spacing w:after="60"/>
      </w:pPr>
      <w:r>
        <w:rPr>
          <w:rFonts w:ascii="Arial" w:cs="Arial" w:eastAsia="Arial" w:hAnsi="Arial"/>
          <w:sz w:val="20"/>
          <w:szCs w:val="20"/>
        </w:rPr>
        <w:t xml:space="preserve">Race condition en estado paralelo: CATALYST || FORENSIC ejecutan en paralelo con shared lock para lectura. Un write concurrente puede dejar estado inconsistente. El lock fcntl es advisory, no mandatory.</w:t>
      </w:r>
    </w:p>
    <w:p>
      <w:pPr>
        <w:pStyle w:val="Heading2"/>
      </w:pPr>
      <w:r>
        <w:rPr>
          <w:rFonts w:ascii="Arial" w:cs="Arial" w:eastAsia="Arial" w:hAnsi="Arial"/>
        </w:rPr>
        <w:t xml:space="preserve">7.2 Problemas de Diseño (mejoras estructurales)</w:t>
      </w:r>
    </w:p>
    <w:p>
      <w:pPr>
        <w:pStyle w:val="ListParagraph"/>
        <w:numPr>
          <w:ilvl w:val="0"/>
          <w:numId w:val="5"/>
        </w:numPr>
        <w:spacing w:after="60"/>
      </w:pPr>
      <w:r>
        <w:rPr>
          <w:rFonts w:ascii="Arial" w:cs="Arial" w:eastAsia="Arial" w:hAnsi="Arial"/>
          <w:sz w:val="20"/>
          <w:szCs w:val="20"/>
        </w:rPr>
        <w:t xml:space="preserve">fail_fast inconsistente con quality policy: fail_fast=true detiene el pipeline en el primer error, pero quality_voting.policy='report_only' nunca bloquea. Resultado: la calidad se reporta pero no se actua; los errores de ejecución detienen todo sin dar oportunidad de recovery parcial.</w:t>
      </w:r>
    </w:p>
    <w:p>
      <w:pPr>
        <w:pStyle w:val="ListParagraph"/>
        <w:numPr>
          <w:ilvl w:val="0"/>
          <w:numId w:val="5"/>
        </w:numPr>
        <w:spacing w:after="60"/>
      </w:pPr>
      <w:r>
        <w:rPr>
          <w:rFonts w:ascii="Arial" w:cs="Arial" w:eastAsia="Arial" w:hAnsi="Arial"/>
          <w:sz w:val="20"/>
          <w:szCs w:val="20"/>
        </w:rPr>
        <w:t xml:space="preserve">JSON recovery demasiado permisivo: el cascade de recuperación (4 intentos) puede aceptar el primer objeto {...} encontrado sin verificar que sea el artefacto correcto. Riesgo: aceptar fragmentos parciales o metadata en vez del output real.</w:t>
      </w:r>
    </w:p>
    <w:p>
      <w:pPr>
        <w:pStyle w:val="ListParagraph"/>
        <w:numPr>
          <w:ilvl w:val="0"/>
          <w:numId w:val="5"/>
        </w:numPr>
        <w:spacing w:after="60"/>
      </w:pPr>
      <w:r>
        <w:rPr>
          <w:rFonts w:ascii="Arial" w:cs="Arial" w:eastAsia="Arial" w:hAnsi="Arial"/>
          <w:sz w:val="20"/>
          <w:szCs w:val="20"/>
        </w:rPr>
        <w:t xml:space="preserve">Sin validación de formato de ticker: el engine acepta cualquier string como ticker (engine.py línea 1434: ticker = args.ticker.upper()). No hay validación contra exchanges conocidos ni blacklist.</w:t>
      </w:r>
    </w:p>
    <w:p>
      <w:pPr>
        <w:pStyle w:val="ListParagraph"/>
        <w:numPr>
          <w:ilvl w:val="0"/>
          <w:numId w:val="5"/>
        </w:numPr>
        <w:spacing w:after="60"/>
      </w:pPr>
      <w:r>
        <w:rPr>
          <w:rFonts w:ascii="Arial" w:cs="Arial" w:eastAsia="Arial" w:hAnsi="Arial"/>
          <w:sz w:val="20"/>
          <w:szCs w:val="20"/>
        </w:rPr>
        <w:t xml:space="preserve">Configuración inconsistente entre v1 y v2: el sistema mantiene compatibilidad con config v1 que usa backends directos vs. v2 con catálogo de modelos. Ambos paths están activos en el código, creando superficie de error.</w:t>
      </w:r>
    </w:p>
    <w:p>
      <w:pPr>
        <w:pStyle w:val="ListParagraph"/>
        <w:numPr>
          <w:ilvl w:val="0"/>
          <w:numId w:val="5"/>
        </w:numPr>
        <w:spacing w:after="60"/>
      </w:pPr>
      <w:r>
        <w:rPr>
          <w:rFonts w:ascii="Arial" w:cs="Arial" w:eastAsia="Arial" w:hAnsi="Arial"/>
          <w:sz w:val="20"/>
          <w:szCs w:val="20"/>
        </w:rPr>
        <w:t xml:space="preserve">Escalation deprecado pero flag activo: escalation está marcado como deprecado en v2 pero el flag sigue en config ('enabled: false'). Código muerto que añade complejidad de mantenimiento.</w:t>
      </w:r>
    </w:p>
    <w:p>
      <w:pPr>
        <w:pStyle w:val="Heading2"/>
      </w:pPr>
      <w:r>
        <w:rPr>
          <w:rFonts w:ascii="Arial" w:cs="Arial" w:eastAsia="Arial" w:hAnsi="Arial"/>
        </w:rPr>
        <w:t xml:space="preserve">7.3 Problemas de Datos Internacionales</w:t>
      </w:r>
    </w:p>
    <w:p>
      <w:pPr>
        <w:pStyle w:val="ListParagraph"/>
        <w:numPr>
          <w:ilvl w:val="0"/>
          <w:numId w:val="6"/>
        </w:numPr>
        <w:spacing w:after="60"/>
      </w:pPr>
      <w:r>
        <w:rPr>
          <w:rFonts w:ascii="Arial" w:cs="Arial" w:eastAsia="Arial" w:hAnsi="Arial"/>
          <w:sz w:val="20"/>
          <w:szCs w:val="20"/>
        </w:rPr>
        <w:t xml:space="preserve">Sin soporte PDF para filings europeos: los URD (Document de Référence Universel) franceses son PDF-first. El iXBRL extractor solo procesa HTML/XHTML.</w:t>
      </w:r>
    </w:p>
    <w:p>
      <w:pPr>
        <w:pStyle w:val="ListParagraph"/>
        <w:numPr>
          <w:ilvl w:val="0"/>
          <w:numId w:val="6"/>
        </w:numPr>
        <w:spacing w:after="60"/>
      </w:pPr>
      <w:r>
        <w:rPr>
          <w:rFonts w:ascii="Arial" w:cs="Arial" w:eastAsia="Arial" w:hAnsi="Arial"/>
          <w:sz w:val="20"/>
          <w:szCs w:val="20"/>
        </w:rPr>
        <w:t xml:space="preserve">Sin reconocimiento de idiomas no-ingleses: keywords financieros en mandarín, francés o hebreo no son reconocidos por el parser de filings.</w:t>
      </w:r>
    </w:p>
    <w:p>
      <w:pPr>
        <w:pStyle w:val="ListParagraph"/>
        <w:numPr>
          <w:ilvl w:val="0"/>
          <w:numId w:val="6"/>
        </w:numPr>
        <w:spacing w:after="60"/>
      </w:pPr>
      <w:r>
        <w:rPr>
          <w:rFonts w:ascii="Arial" w:cs="Arial" w:eastAsia="Arial" w:hAnsi="Arial"/>
          <w:sz w:val="20"/>
          <w:szCs w:val="20"/>
        </w:rPr>
        <w:t xml:space="preserve">EBIT proxy missing para IFRS: muchas empresas IFRS reportan 'operating income' en lugar de EBIT. El extractor no tiene mapping IFRS → EBIT.</w:t>
      </w:r>
    </w:p>
    <w:p>
      <w:pPr>
        <w:pStyle w:val="ListParagraph"/>
        <w:numPr>
          <w:ilvl w:val="0"/>
          <w:numId w:val="6"/>
        </w:numPr>
        <w:spacing w:after="60"/>
      </w:pPr>
      <w:r>
        <w:rPr>
          <w:rFonts w:ascii="Arial" w:cs="Arial" w:eastAsia="Arial" w:hAnsi="Arial"/>
          <w:sz w:val="20"/>
          <w:szCs w:val="20"/>
        </w:rPr>
        <w:t xml:space="preserve">Exchange name recognition limitada: solo reconoce NASDAQ, NYSE, AMEX y un mapping básico de non-US. Falta soporte para variantes (e.g., 'EURONEXT PARIS' vs 'EPA' vs 'PAR').</w:t>
      </w:r>
    </w:p>
    <w:p>
      <w:r>
        <w:br w:type="page"/>
      </w:r>
    </w:p>
    <w:p>
      <w:pPr>
        <w:pStyle w:val="Heading1"/>
      </w:pPr>
      <w:r>
        <w:rPr>
          <w:rFonts w:ascii="Arial" w:cs="Arial" w:eastAsia="Arial" w:hAnsi="Arial"/>
        </w:rPr>
        <w:t xml:space="preserve">8. PLAN MAESTRO DE MEJORAS</w:t>
      </w:r>
    </w:p>
    <w:p>
      <w:pPr>
        <w:spacing w:after="120"/>
      </w:pPr>
      <w:r>
        <w:rPr>
          <w:rFonts w:ascii="Arial" w:cs="Arial" w:eastAsia="Arial" w:hAnsi="Arial"/>
          <w:color w:val="212121"/>
          <w:sz w:val="22"/>
          <w:szCs w:val="22"/>
        </w:rPr>
        <w:t xml:space="preserve">El plan se estructura en 4 fases, priorizadas por impacto en fiabilidad del pipeline y esfuerzo de implementación.</w:t>
      </w:r>
    </w:p>
    <w:p>
      <w:pPr>
        <w:pStyle w:val="Heading2"/>
      </w:pPr>
      <w:r>
        <w:rPr>
          <w:rFonts w:ascii="Arial" w:cs="Arial" w:eastAsia="Arial" w:hAnsi="Arial"/>
        </w:rPr>
        <w:t xml:space="preserve">8.1 FASE 1: Corrección Crítica (1-2 semanas)</w:t>
      </w:r>
    </w:p>
    <w:p>
      <w:pPr>
        <w:spacing w:after="120"/>
      </w:pPr>
      <w:r>
        <w:rPr>
          <w:rFonts w:ascii="Arial" w:cs="Arial" w:eastAsia="Arial" w:hAnsi="Arial"/>
          <w:i/>
          <w:iCs/>
          <w:color w:val="616161"/>
          <w:sz w:val="22"/>
          <w:szCs w:val="22"/>
        </w:rPr>
        <w:t xml:space="preserve">Objetivo: eliminar los fallos que causan resultados incorrectos o pipeline bloqueado.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260"/>
        <w:gridCol w:w="1400"/>
        <w:gridCol w:w="1400"/>
        <w:gridCol w:w="1400"/>
        <w:gridCol w:w="1400"/>
      </w:tblGrid>
      <w:tr>
        <w:tc>
          <w:tcPr>
            <w:tcW w:type="dxa" w:w="5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w:t>
            </w:r>
          </w:p>
        </w:tc>
        <w:tc>
          <w:tcPr>
            <w:tcW w:type="dxa" w:w="326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Mejora</w:t>
            </w:r>
          </w:p>
        </w:tc>
        <w:tc>
          <w:tcPr>
            <w:tcW w:type="dxa" w:w="14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Esfuerzo</w:t>
            </w:r>
          </w:p>
        </w:tc>
        <w:tc>
          <w:tcPr>
            <w:tcW w:type="dxa" w:w="14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Impacto</w:t>
            </w:r>
          </w:p>
        </w:tc>
        <w:tc>
          <w:tcPr>
            <w:tcW w:type="dxa" w:w="14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Archivo(s)</w:t>
            </w:r>
          </w:p>
        </w:tc>
        <w:tc>
          <w:tcPr>
            <w:tcW w:type="dxa" w:w="14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Riesgo</w:t>
            </w:r>
          </w:p>
        </w:tc>
      </w:tr>
      <w:tr>
        <w:tc>
          <w:tcPr>
            <w:tcW w:type="dxa" w:w="5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212121"/>
                <w:sz w:val="18"/>
                <w:szCs w:val="18"/>
              </w:rPr>
              <w:t xml:space="preserve">1.1</w:t>
            </w:r>
          </w:p>
        </w:tc>
        <w:tc>
          <w:tcPr>
            <w:tcW w:type="dxa" w:w="32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color w:val="212121"/>
                <w:sz w:val="18"/>
                <w:szCs w:val="18"/>
              </w:rPr>
              <w:t xml:space="preserve">Validación de identidad corporativa en PREFETCH: verificar que el nombre de empresa en las fuentes coincide con el ticker/company name esperado</w:t>
            </w:r>
          </w:p>
        </w:tc>
        <w:tc>
          <w:tcPr>
            <w:tcW w:type="dxa" w:w="14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212121"/>
                <w:sz w:val="18"/>
                <w:szCs w:val="18"/>
              </w:rPr>
              <w:t xml:space="preserve">6h</w:t>
            </w:r>
          </w:p>
        </w:tc>
        <w:tc>
          <w:tcPr>
            <w:tcW w:type="dxa" w:w="14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b/>
                <w:bCs/>
                <w:color w:val="C62828"/>
                <w:sz w:val="18"/>
                <w:szCs w:val="18"/>
              </w:rPr>
              <w:t xml:space="preserve">Crítico</w:t>
            </w:r>
          </w:p>
        </w:tc>
        <w:tc>
          <w:tcPr>
            <w:tcW w:type="dxa" w:w="14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color w:val="212121"/>
                <w:sz w:val="18"/>
                <w:szCs w:val="18"/>
              </w:rPr>
              <w:t xml:space="preserve">ir_url_resolver</w:t>
            </w:r>
          </w:p>
        </w:tc>
        <w:tc>
          <w:tcPr>
            <w:tcW w:type="dxa" w:w="14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2E7D32"/>
                <w:sz w:val="18"/>
                <w:szCs w:val="18"/>
              </w:rPr>
              <w:t xml:space="preserve">Bajo</w:t>
            </w:r>
          </w:p>
        </w:tc>
      </w:tr>
      <w:tr>
        <w:tc>
          <w:tcPr>
            <w:tcW w:type="dxa" w:w="5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212121"/>
                <w:sz w:val="18"/>
                <w:szCs w:val="18"/>
              </w:rPr>
              <w:t xml:space="preserve">1.2</w:t>
            </w:r>
          </w:p>
        </w:tc>
        <w:tc>
          <w:tcPr>
            <w:tcW w:type="dxa" w:w="32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color w:val="212121"/>
                <w:sz w:val="18"/>
                <w:szCs w:val="18"/>
              </w:rPr>
              <w:t xml:space="preserve">Fix Claude ARBITRO: ajustar instrucciones_arbitro_V6.md para forzar generación de campos críticos (decision, gates, probabilidad) con ejemplos explícitos</w:t>
            </w:r>
          </w:p>
        </w:tc>
        <w:tc>
          <w:tcPr>
            <w:tcW w:type="dxa" w:w="14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212121"/>
                <w:sz w:val="18"/>
                <w:szCs w:val="18"/>
              </w:rPr>
              <w:t xml:space="preserve">3h</w:t>
            </w:r>
          </w:p>
        </w:tc>
        <w:tc>
          <w:tcPr>
            <w:tcW w:type="dxa" w:w="14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b/>
                <w:bCs/>
                <w:color w:val="C62828"/>
                <w:sz w:val="18"/>
                <w:szCs w:val="18"/>
              </w:rPr>
              <w:t xml:space="preserve">Crítico</w:t>
            </w:r>
          </w:p>
        </w:tc>
        <w:tc>
          <w:tcPr>
            <w:tcW w:type="dxa" w:w="14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color w:val="212121"/>
                <w:sz w:val="18"/>
                <w:szCs w:val="18"/>
              </w:rPr>
              <w:t xml:space="preserve">instrucciones</w:t>
            </w:r>
          </w:p>
        </w:tc>
        <w:tc>
          <w:tcPr>
            <w:tcW w:type="dxa" w:w="14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2E7D32"/>
                <w:sz w:val="18"/>
                <w:szCs w:val="18"/>
              </w:rPr>
              <w:t xml:space="preserve">Bajo</w:t>
            </w:r>
          </w:p>
        </w:tc>
      </w:tr>
      <w:tr>
        <w:tc>
          <w:tcPr>
            <w:tcW w:type="dxa" w:w="5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212121"/>
                <w:sz w:val="18"/>
                <w:szCs w:val="18"/>
              </w:rPr>
              <w:t xml:space="preserve">1.3</w:t>
            </w:r>
          </w:p>
        </w:tc>
        <w:tc>
          <w:tcPr>
            <w:tcW w:type="dxa" w:w="32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color w:val="212121"/>
                <w:sz w:val="18"/>
                <w:szCs w:val="18"/>
              </w:rPr>
              <w:t xml:space="preserve">Portabilizar rutas de binarios: reemplazar paths hardcoded por resolución via PATH del sistema o variable de entorno ENGINE_BIN_PATH</w:t>
            </w:r>
          </w:p>
        </w:tc>
        <w:tc>
          <w:tcPr>
            <w:tcW w:type="dxa" w:w="14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212121"/>
                <w:sz w:val="18"/>
                <w:szCs w:val="18"/>
              </w:rPr>
              <w:t xml:space="preserve">2h</w:t>
            </w:r>
          </w:p>
        </w:tc>
        <w:tc>
          <w:tcPr>
            <w:tcW w:type="dxa" w:w="14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b/>
                <w:bCs/>
                <w:color w:val="E65100"/>
                <w:sz w:val="18"/>
                <w:szCs w:val="18"/>
              </w:rPr>
              <w:t xml:space="preserve">Alto</w:t>
            </w:r>
          </w:p>
        </w:tc>
        <w:tc>
          <w:tcPr>
            <w:tcW w:type="dxa" w:w="14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color w:val="212121"/>
                <w:sz w:val="18"/>
                <w:szCs w:val="18"/>
              </w:rPr>
              <w:t xml:space="preserve">engine_config</w:t>
            </w:r>
          </w:p>
        </w:tc>
        <w:tc>
          <w:tcPr>
            <w:tcW w:type="dxa" w:w="14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2E7D32"/>
                <w:sz w:val="18"/>
                <w:szCs w:val="18"/>
              </w:rPr>
              <w:t xml:space="preserve">Bajo</w:t>
            </w:r>
          </w:p>
        </w:tc>
      </w:tr>
      <w:tr>
        <w:tc>
          <w:tcPr>
            <w:tcW w:type="dxa" w:w="5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212121"/>
                <w:sz w:val="18"/>
                <w:szCs w:val="18"/>
              </w:rPr>
              <w:t xml:space="preserve">1.4</w:t>
            </w:r>
          </w:p>
        </w:tc>
        <w:tc>
          <w:tcPr>
            <w:tcW w:type="dxa" w:w="32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color w:val="212121"/>
                <w:sz w:val="18"/>
                <w:szCs w:val="18"/>
              </w:rPr>
              <w:t xml:space="preserve">Truncamiento seguro de JSON: validar estructura JSON post-truncado, truncar en límites de array/object, no en medio de strings</w:t>
            </w:r>
          </w:p>
        </w:tc>
        <w:tc>
          <w:tcPr>
            <w:tcW w:type="dxa" w:w="14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212121"/>
                <w:sz w:val="18"/>
                <w:szCs w:val="18"/>
              </w:rPr>
              <w:t xml:space="preserve">4h</w:t>
            </w:r>
          </w:p>
        </w:tc>
        <w:tc>
          <w:tcPr>
            <w:tcW w:type="dxa" w:w="14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b/>
                <w:bCs/>
                <w:color w:val="E65100"/>
                <w:sz w:val="18"/>
                <w:szCs w:val="18"/>
              </w:rPr>
              <w:t xml:space="preserve">Alto</w:t>
            </w:r>
          </w:p>
        </w:tc>
        <w:tc>
          <w:tcPr>
            <w:tcW w:type="dxa" w:w="14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color w:val="212121"/>
                <w:sz w:val="18"/>
                <w:szCs w:val="18"/>
              </w:rPr>
              <w:t xml:space="preserve">prompt_builder</w:t>
            </w:r>
          </w:p>
        </w:tc>
        <w:tc>
          <w:tcPr>
            <w:tcW w:type="dxa" w:w="14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E65100"/>
                <w:sz w:val="18"/>
                <w:szCs w:val="18"/>
              </w:rPr>
              <w:t xml:space="preserve">Medio</w:t>
            </w:r>
          </w:p>
        </w:tc>
      </w:tr>
      <w:tr>
        <w:tc>
          <w:tcPr>
            <w:tcW w:type="dxa" w:w="5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212121"/>
                <w:sz w:val="18"/>
                <w:szCs w:val="18"/>
              </w:rPr>
              <w:t xml:space="preserve">1.5</w:t>
            </w:r>
          </w:p>
        </w:tc>
        <w:tc>
          <w:tcPr>
            <w:tcW w:type="dxa" w:w="32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color w:val="212121"/>
                <w:sz w:val="18"/>
                <w:szCs w:val="18"/>
              </w:rPr>
              <w:t xml:space="preserve">Fix auth cache: añadir expiration timestamp al cache de auth y verificar antes de usar</w:t>
            </w:r>
          </w:p>
        </w:tc>
        <w:tc>
          <w:tcPr>
            <w:tcW w:type="dxa" w:w="14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212121"/>
                <w:sz w:val="18"/>
                <w:szCs w:val="18"/>
              </w:rPr>
              <w:t xml:space="preserve">2h</w:t>
            </w:r>
          </w:p>
        </w:tc>
        <w:tc>
          <w:tcPr>
            <w:tcW w:type="dxa" w:w="14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E65100"/>
                <w:sz w:val="18"/>
                <w:szCs w:val="18"/>
              </w:rPr>
              <w:t xml:space="preserve">Medio</w:t>
            </w:r>
          </w:p>
        </w:tc>
        <w:tc>
          <w:tcPr>
            <w:tcW w:type="dxa" w:w="14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color w:val="212121"/>
                <w:sz w:val="18"/>
                <w:szCs w:val="18"/>
              </w:rPr>
              <w:t xml:space="preserve">claude.py</w:t>
            </w:r>
          </w:p>
        </w:tc>
        <w:tc>
          <w:tcPr>
            <w:tcW w:type="dxa" w:w="14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2E7D32"/>
                <w:sz w:val="18"/>
                <w:szCs w:val="18"/>
              </w:rPr>
              <w:t xml:space="preserve">Bajo</w:t>
            </w:r>
          </w:p>
        </w:tc>
      </w:tr>
      <w:tr>
        <w:tc>
          <w:tcPr>
            <w:tcW w:type="dxa" w:w="5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212121"/>
                <w:sz w:val="18"/>
                <w:szCs w:val="18"/>
              </w:rPr>
              <w:t xml:space="preserve">1.6</w:t>
            </w:r>
          </w:p>
        </w:tc>
        <w:tc>
          <w:tcPr>
            <w:tcW w:type="dxa" w:w="32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color w:val="212121"/>
                <w:sz w:val="18"/>
                <w:szCs w:val="18"/>
              </w:rPr>
              <w:t xml:space="preserve">Fix propagación de metadatos SOM: asegurar que exchange/country de _estado.json se copian al DecisionPacket</w:t>
            </w:r>
          </w:p>
        </w:tc>
        <w:tc>
          <w:tcPr>
            <w:tcW w:type="dxa" w:w="14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212121"/>
                <w:sz w:val="18"/>
                <w:szCs w:val="18"/>
              </w:rPr>
              <w:t xml:space="preserve">1h</w:t>
            </w:r>
          </w:p>
        </w:tc>
        <w:tc>
          <w:tcPr>
            <w:tcW w:type="dxa" w:w="14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E65100"/>
                <w:sz w:val="18"/>
                <w:szCs w:val="18"/>
              </w:rPr>
              <w:t xml:space="preserve">Medio</w:t>
            </w:r>
          </w:p>
        </w:tc>
        <w:tc>
          <w:tcPr>
            <w:tcW w:type="dxa" w:w="14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color w:val="212121"/>
                <w:sz w:val="18"/>
                <w:szCs w:val="18"/>
              </w:rPr>
              <w:t xml:space="preserve">router.py</w:t>
            </w:r>
          </w:p>
        </w:tc>
        <w:tc>
          <w:tcPr>
            <w:tcW w:type="dxa" w:w="14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2E7D32"/>
                <w:sz w:val="18"/>
                <w:szCs w:val="18"/>
              </w:rPr>
              <w:t xml:space="preserve">Bajo</w:t>
            </w:r>
          </w:p>
        </w:tc>
      </w:tr>
    </w:tbl>
    <w:p>
      <w:pPr>
        <w:spacing w:after="120"/>
      </w:pPr>
      <w:r>
        <w:rPr>
          <w:rFonts w:ascii="Arial" w:cs="Arial" w:eastAsia="Arial" w:hAnsi="Arial"/>
          <w:color w:val="212121"/>
          <w:sz w:val="22"/>
          <w:szCs w:val="22"/>
        </w:rPr>
        <w:t xml:space="preserve"/>
      </w:r>
    </w:p>
    <w:p>
      <w:pPr>
        <w:pStyle w:val="Heading2"/>
      </w:pPr>
      <w:r>
        <w:rPr>
          <w:rFonts w:ascii="Arial" w:cs="Arial" w:eastAsia="Arial" w:hAnsi="Arial"/>
        </w:rPr>
        <w:t xml:space="preserve">8.2 FASE 2: Robustez del Pipeline (2-4 semanas)</w:t>
      </w:r>
    </w:p>
    <w:p>
      <w:pPr>
        <w:spacing w:after="120"/>
      </w:pPr>
      <w:r>
        <w:rPr>
          <w:rFonts w:ascii="Arial" w:cs="Arial" w:eastAsia="Arial" w:hAnsi="Arial"/>
          <w:i/>
          <w:iCs/>
          <w:color w:val="616161"/>
          <w:sz w:val="22"/>
          <w:szCs w:val="22"/>
        </w:rPr>
        <w:t xml:space="preserve">Objetivo: mejorar la resiliencia ante fallos y la capacidad de recovery automático.</w:t>
      </w:r>
    </w:p>
    <w:p>
      <w:pPr>
        <w:pStyle w:val="ListParagraph"/>
        <w:numPr>
          <w:ilvl w:val="0"/>
          <w:numId w:val="7"/>
        </w:numPr>
        <w:spacing w:after="60"/>
      </w:pPr>
      <w:r>
        <w:rPr>
          <w:rFonts w:ascii="Arial" w:cs="Arial" w:eastAsia="Arial" w:hAnsi="Arial"/>
          <w:sz w:val="20"/>
          <w:szCs w:val="20"/>
        </w:rPr>
        <w:t xml:space="preserve">Rate limiting preventivo para Gemini: implementar un token bucket o semaphore que limite peticiones concurrentes a Gemini (max 3/min). Incluir backoff exponencial configurable en engine_config.json. Esfuerzo: 6h.</w:t>
      </w:r>
    </w:p>
    <w:p>
      <w:pPr>
        <w:pStyle w:val="ListParagraph"/>
        <w:numPr>
          <w:ilvl w:val="0"/>
          <w:numId w:val="7"/>
        </w:numPr>
        <w:spacing w:after="60"/>
      </w:pPr>
      <w:r>
        <w:rPr>
          <w:rFonts w:ascii="Arial" w:cs="Arial" w:eastAsia="Arial" w:hAnsi="Arial"/>
          <w:sz w:val="20"/>
          <w:szCs w:val="20"/>
        </w:rPr>
        <w:t xml:space="preserve">Recovery parcial en vez de fail_fast: nuevo modo 'continue_on_partial_failure' que permite al pipeline seguir ejecutando pasos independientes cuando uno falla, reportando el resultado parcial al final. Esfuerzo: 8h.</w:t>
      </w:r>
    </w:p>
    <w:p>
      <w:pPr>
        <w:pStyle w:val="ListParagraph"/>
        <w:numPr>
          <w:ilvl w:val="0"/>
          <w:numId w:val="7"/>
        </w:numPr>
        <w:spacing w:after="60"/>
      </w:pPr>
      <w:r>
        <w:rPr>
          <w:rFonts w:ascii="Arial" w:cs="Arial" w:eastAsia="Arial" w:hAnsi="Arial"/>
          <w:sz w:val="20"/>
          <w:szCs w:val="20"/>
        </w:rPr>
        <w:t xml:space="preserve">Validación de formato de ticker al inicio: verificar que el ticker existe en el exchange declarado usando APIs públicas (EDGAR para US, HKEX API para HK, etc.) antes de iniciar el pipeline. Esfuerzo: 4h.</w:t>
      </w:r>
    </w:p>
    <w:p>
      <w:pPr>
        <w:pStyle w:val="ListParagraph"/>
        <w:numPr>
          <w:ilvl w:val="0"/>
          <w:numId w:val="7"/>
        </w:numPr>
        <w:spacing w:after="60"/>
      </w:pPr>
      <w:r>
        <w:rPr>
          <w:rFonts w:ascii="Arial" w:cs="Arial" w:eastAsia="Arial" w:hAnsi="Arial"/>
          <w:sz w:val="20"/>
          <w:szCs w:val="20"/>
        </w:rPr>
        <w:t xml:space="preserve">JSON recovery con validación de schema: tras recuperar JSON del cascade, verificar que el objeto extraído cumple el schema del paso antes de aceptarlo. Rechazar si no tiene los campos requeridos. Esfuerzo: 3h.</w:t>
      </w:r>
    </w:p>
    <w:p>
      <w:pPr>
        <w:pStyle w:val="ListParagraph"/>
        <w:numPr>
          <w:ilvl w:val="0"/>
          <w:numId w:val="7"/>
        </w:numPr>
        <w:spacing w:after="60"/>
      </w:pPr>
      <w:r>
        <w:rPr>
          <w:rFonts w:ascii="Arial" w:cs="Arial" w:eastAsia="Arial" w:hAnsi="Arial"/>
          <w:sz w:val="20"/>
          <w:szCs w:val="20"/>
        </w:rPr>
        <w:t xml:space="preserve">Volumen de casos: ejecutar al menos 50 casos para alcanzar significancia estadística en métricas de calidad por modelo/paso (umbral actual: 20 muestras, solo 1/21 pares lo alcanza). Esfuerzo: 10h de ejecución.</w:t>
      </w:r>
    </w:p>
    <w:p>
      <w:pPr>
        <w:pStyle w:val="ListParagraph"/>
        <w:numPr>
          <w:ilvl w:val="0"/>
          <w:numId w:val="7"/>
        </w:numPr>
        <w:spacing w:after="60"/>
      </w:pPr>
      <w:r>
        <w:rPr>
          <w:rFonts w:ascii="Arial" w:cs="Arial" w:eastAsia="Arial" w:hAnsi="Arial"/>
          <w:sz w:val="20"/>
          <w:szCs w:val="20"/>
        </w:rPr>
        <w:t xml:space="preserve">Locking mejorado: migrar de advisory locks (fcntl) a file-based mutex con timeout para evitar race conditions en ejecución paralela CATALYST||FORENSIC. Esfuerzo: 4h.</w:t>
      </w:r>
    </w:p>
    <w:p>
      <w:pPr>
        <w:pStyle w:val="ListParagraph"/>
        <w:numPr>
          <w:ilvl w:val="0"/>
          <w:numId w:val="7"/>
        </w:numPr>
        <w:spacing w:after="60"/>
      </w:pPr>
      <w:r>
        <w:rPr>
          <w:rFonts w:ascii="Arial" w:cs="Arial" w:eastAsia="Arial" w:hAnsi="Arial"/>
          <w:sz w:val="20"/>
          <w:szCs w:val="20"/>
        </w:rPr>
        <w:t xml:space="preserve">Eliminar código v1 muerto: remover completamente la ruta de config v1, escalation flag deprecado, y backends que ya no se usan. Reducir superficie de error. Esfuerzo: 3h.</w:t>
      </w:r>
    </w:p>
    <w:p>
      <w:pPr>
        <w:pStyle w:val="Heading2"/>
      </w:pPr>
      <w:r>
        <w:rPr>
          <w:rFonts w:ascii="Arial" w:cs="Arial" w:eastAsia="Arial" w:hAnsi="Arial"/>
        </w:rPr>
        <w:t xml:space="preserve">8.3 FASE 3: Soporte Internacional (4-8 semanas)</w:t>
      </w:r>
    </w:p>
    <w:p>
      <w:pPr>
        <w:spacing w:after="120"/>
      </w:pPr>
      <w:r>
        <w:rPr>
          <w:rFonts w:ascii="Arial" w:cs="Arial" w:eastAsia="Arial" w:hAnsi="Arial"/>
          <w:i/>
          <w:iCs/>
          <w:color w:val="616161"/>
          <w:sz w:val="22"/>
          <w:szCs w:val="22"/>
        </w:rPr>
        <w:t xml:space="preserve">Objetivo: elevar la calidad de análisis de tickers no-US al nivel de los US.</w:t>
      </w:r>
    </w:p>
    <w:p>
      <w:pPr>
        <w:pStyle w:val="ListParagraph"/>
        <w:numPr>
          <w:ilvl w:val="0"/>
          <w:numId w:val="2"/>
        </w:numPr>
        <w:spacing w:after="60"/>
      </w:pPr>
      <w:r>
        <w:rPr>
          <w:rFonts w:ascii="Arial" w:cs="Arial" w:eastAsia="Arial" w:hAnsi="Arial"/>
          <w:sz w:val="20"/>
          <w:szCs w:val="20"/>
        </w:rPr>
        <w:t xml:space="preserve">Soporte PDF en iXBRL extractor: integrar pdfplumber o camelot para extraer tablas de URD franceses y annual reports en formato PDF. Incluir OCR como fallback con pytesseract</w:t>
      </w:r>
    </w:p>
    <w:p>
      <w:pPr>
        <w:pStyle w:val="ListParagraph"/>
        <w:numPr>
          <w:ilvl w:val="0"/>
          <w:numId w:val="2"/>
        </w:numPr>
        <w:spacing w:after="60"/>
      </w:pPr>
      <w:r>
        <w:rPr>
          <w:rFonts w:ascii="Arial" w:cs="Arial" w:eastAsia="Arial" w:hAnsi="Arial"/>
          <w:sz w:val="20"/>
          <w:szCs w:val="20"/>
        </w:rPr>
        <w:t xml:space="preserve">EBIT proxy para IFRS: añadir mapping de 'operating income', 'résultat opérationnel', 'Betriebsergebnis' a EBIT en el extractor de TruthPack</w:t>
      </w:r>
    </w:p>
    <w:p>
      <w:pPr>
        <w:pStyle w:val="ListParagraph"/>
        <w:numPr>
          <w:ilvl w:val="0"/>
          <w:numId w:val="2"/>
        </w:numPr>
        <w:spacing w:after="60"/>
      </w:pPr>
      <w:r>
        <w:rPr>
          <w:rFonts w:ascii="Arial" w:cs="Arial" w:eastAsia="Arial" w:hAnsi="Arial"/>
          <w:sz w:val="20"/>
          <w:szCs w:val="20"/>
        </w:rPr>
        <w:t xml:space="preserve">Validación contra registros oficiales: integrar APIs de HKEX, ASX, LSE, Euronext para verificar que el ticker existe y obtener el nombre oficial de la empresa</w:t>
      </w:r>
    </w:p>
    <w:p>
      <w:pPr>
        <w:pStyle w:val="ListParagraph"/>
        <w:numPr>
          <w:ilvl w:val="0"/>
          <w:numId w:val="2"/>
        </w:numPr>
        <w:spacing w:after="60"/>
      </w:pPr>
      <w:r>
        <w:rPr>
          <w:rFonts w:ascii="Arial" w:cs="Arial" w:eastAsia="Arial" w:hAnsi="Arial"/>
          <w:sz w:val="20"/>
          <w:szCs w:val="20"/>
        </w:rPr>
        <w:t xml:space="preserve">Reconocimiento multilingüe de keywords financieros: ampliar el diccionario de términos financieros para incluir francés, alemán, mandarín (para filings en idioma local)</w:t>
      </w:r>
    </w:p>
    <w:p>
      <w:pPr>
        <w:pStyle w:val="ListParagraph"/>
        <w:numPr>
          <w:ilvl w:val="0"/>
          <w:numId w:val="2"/>
        </w:numPr>
        <w:spacing w:after="60"/>
      </w:pPr>
      <w:r>
        <w:rPr>
          <w:rFonts w:ascii="Arial" w:cs="Arial" w:eastAsia="Arial" w:hAnsi="Arial"/>
          <w:sz w:val="20"/>
          <w:szCs w:val="20"/>
        </w:rPr>
        <w:t xml:space="preserve">Catalyst gates adaptados por mercado: los mercados no-US tienen ciclos de reporting diferentes (semi-anual en UK, calendario fiscal diferente en HK). Ajustar los umbrales de 'filing freshness' por exchange</w:t>
      </w:r>
    </w:p>
    <w:p>
      <w:pPr>
        <w:pStyle w:val="ListParagraph"/>
        <w:numPr>
          <w:ilvl w:val="0"/>
          <w:numId w:val="2"/>
        </w:numPr>
        <w:spacing w:after="60"/>
      </w:pPr>
      <w:r>
        <w:rPr>
          <w:rFonts w:ascii="Arial" w:cs="Arial" w:eastAsia="Arial" w:hAnsi="Arial"/>
          <w:sz w:val="20"/>
          <w:szCs w:val="20"/>
        </w:rPr>
        <w:t xml:space="preserve">Penalización por gaps de datos ajustada: el pipeline actual penaliza por datos faltantes que son inherentes al mercado (e.g., trimestrales en UK). Crear factores de ajuste por exchange</w:t>
      </w:r>
    </w:p>
    <w:p>
      <w:pPr>
        <w:pStyle w:val="Heading2"/>
      </w:pPr>
      <w:r>
        <w:rPr>
          <w:rFonts w:ascii="Arial" w:cs="Arial" w:eastAsia="Arial" w:hAnsi="Arial"/>
        </w:rPr>
        <w:t xml:space="preserve">8.4 FASE 4: Monitorización y Calidad Continua (continuo)</w:t>
      </w:r>
    </w:p>
    <w:p>
      <w:pPr>
        <w:spacing w:after="120"/>
      </w:pPr>
      <w:r>
        <w:rPr>
          <w:rFonts w:ascii="Arial" w:cs="Arial" w:eastAsia="Arial" w:hAnsi="Arial"/>
          <w:i/>
          <w:iCs/>
          <w:color w:val="616161"/>
          <w:sz w:val="22"/>
          <w:szCs w:val="22"/>
        </w:rPr>
        <w:t xml:space="preserve">Objetivo: automatizar la detección de problemas y la mejora continua del sistema.</w:t>
      </w:r>
    </w:p>
    <w:p>
      <w:pPr>
        <w:pStyle w:val="ListParagraph"/>
        <w:numPr>
          <w:ilvl w:val="0"/>
          <w:numId w:val="2"/>
        </w:numPr>
        <w:spacing w:after="60"/>
      </w:pPr>
      <w:r>
        <w:rPr>
          <w:rFonts w:ascii="Arial" w:cs="Arial" w:eastAsia="Arial" w:hAnsi="Arial"/>
          <w:sz w:val="20"/>
          <w:szCs w:val="20"/>
        </w:rPr>
        <w:t xml:space="preserve">Dashboard de salud del pipeline: visualización en tiempo real de tasa de éxito por paso, errores por modelo, y drift de calidad</w:t>
      </w:r>
    </w:p>
    <w:p>
      <w:pPr>
        <w:pStyle w:val="ListParagraph"/>
        <w:numPr>
          <w:ilvl w:val="0"/>
          <w:numId w:val="2"/>
        </w:numPr>
        <w:spacing w:after="60"/>
      </w:pPr>
      <w:r>
        <w:rPr>
          <w:rFonts w:ascii="Arial" w:cs="Arial" w:eastAsia="Arial" w:hAnsi="Arial"/>
          <w:sz w:val="20"/>
          <w:szCs w:val="20"/>
        </w:rPr>
        <w:t xml:space="preserve">Alertas automáticas: notificar cuando un modelo cae por debajo de umbral de calidad en un paso específico (e.g., Claude ARBITRO &lt;85%)</w:t>
      </w:r>
    </w:p>
    <w:p>
      <w:pPr>
        <w:pStyle w:val="ListParagraph"/>
        <w:numPr>
          <w:ilvl w:val="0"/>
          <w:numId w:val="2"/>
        </w:numPr>
        <w:spacing w:after="60"/>
      </w:pPr>
      <w:r>
        <w:rPr>
          <w:rFonts w:ascii="Arial" w:cs="Arial" w:eastAsia="Arial" w:hAnsi="Arial"/>
          <w:sz w:val="20"/>
          <w:szCs w:val="20"/>
        </w:rPr>
        <w:t xml:space="preserve">Regresión automática: suite de tests que re-ejecuta un caso de referencia (e.g., TZOO) tras cada cambio de instrucciones o configuración</w:t>
      </w:r>
    </w:p>
    <w:p>
      <w:pPr>
        <w:pStyle w:val="ListParagraph"/>
        <w:numPr>
          <w:ilvl w:val="0"/>
          <w:numId w:val="2"/>
        </w:numPr>
        <w:spacing w:after="60"/>
      </w:pPr>
      <w:r>
        <w:rPr>
          <w:rFonts w:ascii="Arial" w:cs="Arial" w:eastAsia="Arial" w:hAnsi="Arial"/>
          <w:sz w:val="20"/>
          <w:szCs w:val="20"/>
        </w:rPr>
        <w:t xml:space="preserve">A/B testing de instrucciones: framework para comparar versiones de instrucciones de agente (e.g., instrucciones_arbitro_V6 vs V7) en el mismo caso</w:t>
      </w:r>
    </w:p>
    <w:p>
      <w:pPr>
        <w:pStyle w:val="ListParagraph"/>
        <w:numPr>
          <w:ilvl w:val="0"/>
          <w:numId w:val="2"/>
        </w:numPr>
        <w:spacing w:after="60"/>
      </w:pPr>
      <w:r>
        <w:rPr>
          <w:rFonts w:ascii="Arial" w:cs="Arial" w:eastAsia="Arial" w:hAnsi="Arial"/>
          <w:sz w:val="20"/>
          <w:szCs w:val="20"/>
        </w:rPr>
        <w:t xml:space="preserve">Cleanup automático de tmp/: el directorio tmp/ acumula 2,426 archivos de tests y debug. Implementar rotación automática con retención de 7 días</w:t>
      </w:r>
    </w:p>
    <w:p>
      <w:r>
        <w:br w:type="page"/>
      </w:r>
    </w:p>
    <w:p>
      <w:pPr>
        <w:pStyle w:val="Heading1"/>
      </w:pPr>
      <w:r>
        <w:rPr>
          <w:rFonts w:ascii="Arial" w:cs="Arial" w:eastAsia="Arial" w:hAnsi="Arial"/>
        </w:rPr>
        <w:t xml:space="preserve">9. MATRIZ DE RIESGOS Y PRIORIZACIÓN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060"/>
        <w:gridCol w:w="1100"/>
        <w:gridCol w:w="1100"/>
        <w:gridCol w:w="1100"/>
        <w:gridCol w:w="2000"/>
      </w:tblGrid>
      <w:tr>
        <w:tc>
          <w:tcPr>
            <w:tcW w:type="dxa" w:w="30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Riesgo</w:t>
            </w:r>
          </w:p>
        </w:tc>
        <w:tc>
          <w:tcPr>
            <w:tcW w:type="dxa" w:w="106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Prob.</w:t>
            </w:r>
          </w:p>
        </w:tc>
        <w:tc>
          <w:tcPr>
            <w:tcW w:type="dxa" w:w="11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Impacto</w:t>
            </w:r>
          </w:p>
        </w:tc>
        <w:tc>
          <w:tcPr>
            <w:tcW w:type="dxa" w:w="11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Severidad</w:t>
            </w:r>
          </w:p>
        </w:tc>
        <w:tc>
          <w:tcPr>
            <w:tcW w:type="dxa" w:w="11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Fase</w:t>
            </w:r>
          </w:p>
        </w:tc>
        <w:tc>
          <w:tcPr>
            <w:tcW w:type="dxa" w:w="20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Mitigación</w:t>
            </w:r>
          </w:p>
        </w:tc>
      </w:tr>
      <w:tr>
        <w:tc>
          <w:tcPr>
            <w:tcW w:type="dxa" w:w="30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color w:val="212121"/>
                <w:sz w:val="18"/>
                <w:szCs w:val="18"/>
              </w:rPr>
              <w:t xml:space="preserve">Empresa incorrecta en PREFETCH (como TEP)</w:t>
            </w:r>
          </w:p>
        </w:tc>
        <w:tc>
          <w:tcPr>
            <w:tcW w:type="dxa" w:w="10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212121"/>
                <w:sz w:val="18"/>
                <w:szCs w:val="18"/>
              </w:rPr>
              <w:t xml:space="preserve">Media</w:t>
            </w:r>
          </w:p>
        </w:tc>
        <w:tc>
          <w:tcPr>
            <w:tcW w:type="dxa" w:w="11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C62828"/>
                <w:sz w:val="18"/>
                <w:szCs w:val="18"/>
              </w:rPr>
              <w:t xml:space="preserve">Crítico</w:t>
            </w:r>
          </w:p>
        </w:tc>
        <w:tc>
          <w:tcPr>
            <w:tcW w:type="dxa" w:w="11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b/>
                <w:bCs/>
                <w:color w:val="C62828"/>
                <w:sz w:val="18"/>
                <w:szCs w:val="18"/>
              </w:rPr>
              <w:t xml:space="preserve">P1</w:t>
            </w:r>
          </w:p>
        </w:tc>
        <w:tc>
          <w:tcPr>
            <w:tcW w:type="dxa" w:w="11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212121"/>
                <w:sz w:val="18"/>
                <w:szCs w:val="18"/>
              </w:rPr>
              <w:t xml:space="preserve">F1</w:t>
            </w:r>
          </w:p>
        </w:tc>
        <w:tc>
          <w:tcPr>
            <w:tcW w:type="dxa" w:w="20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color w:val="212121"/>
                <w:sz w:val="18"/>
                <w:szCs w:val="18"/>
              </w:rPr>
              <w:t xml:space="preserve">Validar identidad</w:t>
            </w:r>
          </w:p>
        </w:tc>
      </w:tr>
      <w:tr>
        <w:tc>
          <w:tcPr>
            <w:tcW w:type="dxa" w:w="30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color w:val="212121"/>
                <w:sz w:val="18"/>
                <w:szCs w:val="18"/>
              </w:rPr>
              <w:t xml:space="preserve">Claude omite campos en ARBITRO</w:t>
            </w:r>
          </w:p>
        </w:tc>
        <w:tc>
          <w:tcPr>
            <w:tcW w:type="dxa" w:w="10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C62828"/>
                <w:sz w:val="18"/>
                <w:szCs w:val="18"/>
              </w:rPr>
              <w:t xml:space="preserve">Alta</w:t>
            </w:r>
          </w:p>
        </w:tc>
        <w:tc>
          <w:tcPr>
            <w:tcW w:type="dxa" w:w="11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C62828"/>
                <w:sz w:val="18"/>
                <w:szCs w:val="18"/>
              </w:rPr>
              <w:t xml:space="preserve">Alto</w:t>
            </w:r>
          </w:p>
        </w:tc>
        <w:tc>
          <w:tcPr>
            <w:tcW w:type="dxa" w:w="11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b/>
                <w:bCs/>
                <w:color w:val="C62828"/>
                <w:sz w:val="18"/>
                <w:szCs w:val="18"/>
              </w:rPr>
              <w:t xml:space="preserve">P1</w:t>
            </w:r>
          </w:p>
        </w:tc>
        <w:tc>
          <w:tcPr>
            <w:tcW w:type="dxa" w:w="11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212121"/>
                <w:sz w:val="18"/>
                <w:szCs w:val="18"/>
              </w:rPr>
              <w:t xml:space="preserve">F1</w:t>
            </w:r>
          </w:p>
        </w:tc>
        <w:tc>
          <w:tcPr>
            <w:tcW w:type="dxa" w:w="20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color w:val="212121"/>
                <w:sz w:val="18"/>
                <w:szCs w:val="18"/>
              </w:rPr>
              <w:t xml:space="preserve">Ajustar instrucciones</w:t>
            </w:r>
          </w:p>
        </w:tc>
      </w:tr>
      <w:tr>
        <w:tc>
          <w:tcPr>
            <w:tcW w:type="dxa" w:w="30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color w:val="212121"/>
                <w:sz w:val="18"/>
                <w:szCs w:val="18"/>
              </w:rPr>
              <w:t xml:space="preserve">Gemini rate limited (429)</w:t>
            </w:r>
          </w:p>
        </w:tc>
        <w:tc>
          <w:tcPr>
            <w:tcW w:type="dxa" w:w="10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C62828"/>
                <w:sz w:val="18"/>
                <w:szCs w:val="18"/>
              </w:rPr>
              <w:t xml:space="preserve">Alta</w:t>
            </w:r>
          </w:p>
        </w:tc>
        <w:tc>
          <w:tcPr>
            <w:tcW w:type="dxa" w:w="11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E65100"/>
                <w:sz w:val="18"/>
                <w:szCs w:val="18"/>
              </w:rPr>
              <w:t xml:space="preserve">Medio</w:t>
            </w:r>
          </w:p>
        </w:tc>
        <w:tc>
          <w:tcPr>
            <w:tcW w:type="dxa" w:w="11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b/>
                <w:bCs/>
                <w:color w:val="E65100"/>
                <w:sz w:val="18"/>
                <w:szCs w:val="18"/>
              </w:rPr>
              <w:t xml:space="preserve">P2</w:t>
            </w:r>
          </w:p>
        </w:tc>
        <w:tc>
          <w:tcPr>
            <w:tcW w:type="dxa" w:w="11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212121"/>
                <w:sz w:val="18"/>
                <w:szCs w:val="18"/>
              </w:rPr>
              <w:t xml:space="preserve">F2</w:t>
            </w:r>
          </w:p>
        </w:tc>
        <w:tc>
          <w:tcPr>
            <w:tcW w:type="dxa" w:w="20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color w:val="212121"/>
                <w:sz w:val="18"/>
                <w:szCs w:val="18"/>
              </w:rPr>
              <w:t xml:space="preserve">Token bucket</w:t>
            </w:r>
          </w:p>
        </w:tc>
      </w:tr>
      <w:tr>
        <w:tc>
          <w:tcPr>
            <w:tcW w:type="dxa" w:w="30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color w:val="212121"/>
                <w:sz w:val="18"/>
                <w:szCs w:val="18"/>
              </w:rPr>
              <w:t xml:space="preserve">JSON truncado rompe artefacto</w:t>
            </w:r>
          </w:p>
        </w:tc>
        <w:tc>
          <w:tcPr>
            <w:tcW w:type="dxa" w:w="10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212121"/>
                <w:sz w:val="18"/>
                <w:szCs w:val="18"/>
              </w:rPr>
              <w:t xml:space="preserve">Media</w:t>
            </w:r>
          </w:p>
        </w:tc>
        <w:tc>
          <w:tcPr>
            <w:tcW w:type="dxa" w:w="11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C62828"/>
                <w:sz w:val="18"/>
                <w:szCs w:val="18"/>
              </w:rPr>
              <w:t xml:space="preserve">Alto</w:t>
            </w:r>
          </w:p>
        </w:tc>
        <w:tc>
          <w:tcPr>
            <w:tcW w:type="dxa" w:w="11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b/>
                <w:bCs/>
                <w:color w:val="C62828"/>
                <w:sz w:val="18"/>
                <w:szCs w:val="18"/>
              </w:rPr>
              <w:t xml:space="preserve">P1</w:t>
            </w:r>
          </w:p>
        </w:tc>
        <w:tc>
          <w:tcPr>
            <w:tcW w:type="dxa" w:w="11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212121"/>
                <w:sz w:val="18"/>
                <w:szCs w:val="18"/>
              </w:rPr>
              <w:t xml:space="preserve">F1</w:t>
            </w:r>
          </w:p>
        </w:tc>
        <w:tc>
          <w:tcPr>
            <w:tcW w:type="dxa" w:w="20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color w:val="212121"/>
                <w:sz w:val="18"/>
                <w:szCs w:val="18"/>
              </w:rPr>
              <w:t xml:space="preserve">Truncar en límites</w:t>
            </w:r>
          </w:p>
        </w:tc>
      </w:tr>
      <w:tr>
        <w:tc>
          <w:tcPr>
            <w:tcW w:type="dxa" w:w="30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color w:val="212121"/>
                <w:sz w:val="18"/>
                <w:szCs w:val="18"/>
              </w:rPr>
              <w:t xml:space="preserve">Auth token expirado en cache</w:t>
            </w:r>
          </w:p>
        </w:tc>
        <w:tc>
          <w:tcPr>
            <w:tcW w:type="dxa" w:w="10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2E7D32"/>
                <w:sz w:val="18"/>
                <w:szCs w:val="18"/>
              </w:rPr>
              <w:t xml:space="preserve">Baja</w:t>
            </w:r>
          </w:p>
        </w:tc>
        <w:tc>
          <w:tcPr>
            <w:tcW w:type="dxa" w:w="11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E65100"/>
                <w:sz w:val="18"/>
                <w:szCs w:val="18"/>
              </w:rPr>
              <w:t xml:space="preserve">Medio</w:t>
            </w:r>
          </w:p>
        </w:tc>
        <w:tc>
          <w:tcPr>
            <w:tcW w:type="dxa" w:w="11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212121"/>
                <w:sz w:val="18"/>
                <w:szCs w:val="18"/>
              </w:rPr>
              <w:t xml:space="preserve">P3</w:t>
            </w:r>
          </w:p>
        </w:tc>
        <w:tc>
          <w:tcPr>
            <w:tcW w:type="dxa" w:w="11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212121"/>
                <w:sz w:val="18"/>
                <w:szCs w:val="18"/>
              </w:rPr>
              <w:t xml:space="preserve">F1</w:t>
            </w:r>
          </w:p>
        </w:tc>
        <w:tc>
          <w:tcPr>
            <w:tcW w:type="dxa" w:w="20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color w:val="212121"/>
                <w:sz w:val="18"/>
                <w:szCs w:val="18"/>
              </w:rPr>
              <w:t xml:space="preserve">TTL con expiry check</w:t>
            </w:r>
          </w:p>
        </w:tc>
      </w:tr>
      <w:tr>
        <w:tc>
          <w:tcPr>
            <w:tcW w:type="dxa" w:w="30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color w:val="212121"/>
                <w:sz w:val="18"/>
                <w:szCs w:val="18"/>
              </w:rPr>
              <w:t xml:space="preserve">Race condition en estado paralelo</w:t>
            </w:r>
          </w:p>
        </w:tc>
        <w:tc>
          <w:tcPr>
            <w:tcW w:type="dxa" w:w="10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2E7D32"/>
                <w:sz w:val="18"/>
                <w:szCs w:val="18"/>
              </w:rPr>
              <w:t xml:space="preserve">Baja</w:t>
            </w:r>
          </w:p>
        </w:tc>
        <w:tc>
          <w:tcPr>
            <w:tcW w:type="dxa" w:w="11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C62828"/>
                <w:sz w:val="18"/>
                <w:szCs w:val="18"/>
              </w:rPr>
              <w:t xml:space="preserve">Alto</w:t>
            </w:r>
          </w:p>
        </w:tc>
        <w:tc>
          <w:tcPr>
            <w:tcW w:type="dxa" w:w="11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b/>
                <w:bCs/>
                <w:color w:val="E65100"/>
                <w:sz w:val="18"/>
                <w:szCs w:val="18"/>
              </w:rPr>
              <w:t xml:space="preserve">P2</w:t>
            </w:r>
          </w:p>
        </w:tc>
        <w:tc>
          <w:tcPr>
            <w:tcW w:type="dxa" w:w="11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212121"/>
                <w:sz w:val="18"/>
                <w:szCs w:val="18"/>
              </w:rPr>
              <w:t xml:space="preserve">F2</w:t>
            </w:r>
          </w:p>
        </w:tc>
        <w:tc>
          <w:tcPr>
            <w:tcW w:type="dxa" w:w="20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color w:val="212121"/>
                <w:sz w:val="18"/>
                <w:szCs w:val="18"/>
              </w:rPr>
              <w:t xml:space="preserve">File-based mutex</w:t>
            </w:r>
          </w:p>
        </w:tc>
      </w:tr>
      <w:tr>
        <w:tc>
          <w:tcPr>
            <w:tcW w:type="dxa" w:w="30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color w:val="212121"/>
                <w:sz w:val="18"/>
                <w:szCs w:val="18"/>
              </w:rPr>
              <w:t xml:space="preserve">Datos IFRS incompletos (no-US)</w:t>
            </w:r>
          </w:p>
        </w:tc>
        <w:tc>
          <w:tcPr>
            <w:tcW w:type="dxa" w:w="10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C62828"/>
                <w:sz w:val="18"/>
                <w:szCs w:val="18"/>
              </w:rPr>
              <w:t xml:space="preserve">Alta</w:t>
            </w:r>
          </w:p>
        </w:tc>
        <w:tc>
          <w:tcPr>
            <w:tcW w:type="dxa" w:w="11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E65100"/>
                <w:sz w:val="18"/>
                <w:szCs w:val="18"/>
              </w:rPr>
              <w:t xml:space="preserve">Medio</w:t>
            </w:r>
          </w:p>
        </w:tc>
        <w:tc>
          <w:tcPr>
            <w:tcW w:type="dxa" w:w="11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b/>
                <w:bCs/>
                <w:color w:val="E65100"/>
                <w:sz w:val="18"/>
                <w:szCs w:val="18"/>
              </w:rPr>
              <w:t xml:space="preserve">P2</w:t>
            </w:r>
          </w:p>
        </w:tc>
        <w:tc>
          <w:tcPr>
            <w:tcW w:type="dxa" w:w="11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212121"/>
                <w:sz w:val="18"/>
                <w:szCs w:val="18"/>
              </w:rPr>
              <w:t xml:space="preserve">F3</w:t>
            </w:r>
          </w:p>
        </w:tc>
        <w:tc>
          <w:tcPr>
            <w:tcW w:type="dxa" w:w="20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color w:val="212121"/>
                <w:sz w:val="18"/>
                <w:szCs w:val="18"/>
              </w:rPr>
              <w:t xml:space="preserve">EBIT proxy + PDF</w:t>
            </w:r>
          </w:p>
        </w:tc>
      </w:tr>
      <w:tr>
        <w:tc>
          <w:tcPr>
            <w:tcW w:type="dxa" w:w="30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color w:val="212121"/>
                <w:sz w:val="18"/>
                <w:szCs w:val="18"/>
              </w:rPr>
              <w:t xml:space="preserve">Pipeline no desplegable en Linux</w:t>
            </w:r>
          </w:p>
        </w:tc>
        <w:tc>
          <w:tcPr>
            <w:tcW w:type="dxa" w:w="10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b/>
                <w:bCs/>
                <w:color w:val="C62828"/>
                <w:sz w:val="18"/>
                <w:szCs w:val="18"/>
              </w:rPr>
              <w:t xml:space="preserve">Cierta</w:t>
            </w:r>
          </w:p>
        </w:tc>
        <w:tc>
          <w:tcPr>
            <w:tcW w:type="dxa" w:w="11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C62828"/>
                <w:sz w:val="18"/>
                <w:szCs w:val="18"/>
              </w:rPr>
              <w:t xml:space="preserve">Alto</w:t>
            </w:r>
          </w:p>
        </w:tc>
        <w:tc>
          <w:tcPr>
            <w:tcW w:type="dxa" w:w="11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b/>
                <w:bCs/>
                <w:color w:val="C62828"/>
                <w:sz w:val="18"/>
                <w:szCs w:val="18"/>
              </w:rPr>
              <w:t xml:space="preserve">P1</w:t>
            </w:r>
          </w:p>
        </w:tc>
        <w:tc>
          <w:tcPr>
            <w:tcW w:type="dxa" w:w="11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212121"/>
                <w:sz w:val="18"/>
                <w:szCs w:val="18"/>
              </w:rPr>
              <w:t xml:space="preserve">F1</w:t>
            </w:r>
          </w:p>
        </w:tc>
        <w:tc>
          <w:tcPr>
            <w:tcW w:type="dxa" w:w="20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color w:val="212121"/>
                <w:sz w:val="18"/>
                <w:szCs w:val="18"/>
              </w:rPr>
              <w:t xml:space="preserve">Portabilizar paths</w:t>
            </w:r>
          </w:p>
        </w:tc>
      </w:tr>
      <w:tr>
        <w:tc>
          <w:tcPr>
            <w:tcW w:type="dxa" w:w="30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color w:val="212121"/>
                <w:sz w:val="18"/>
                <w:szCs w:val="18"/>
              </w:rPr>
              <w:t xml:space="preserve">Muestra insuficiente para estadísticas</w:t>
            </w:r>
          </w:p>
        </w:tc>
        <w:tc>
          <w:tcPr>
            <w:tcW w:type="dxa" w:w="10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b/>
                <w:bCs/>
                <w:color w:val="C62828"/>
                <w:sz w:val="18"/>
                <w:szCs w:val="18"/>
              </w:rPr>
              <w:t xml:space="preserve">Cierta</w:t>
            </w:r>
          </w:p>
        </w:tc>
        <w:tc>
          <w:tcPr>
            <w:tcW w:type="dxa" w:w="11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E65100"/>
                <w:sz w:val="18"/>
                <w:szCs w:val="18"/>
              </w:rPr>
              <w:t xml:space="preserve">Medio</w:t>
            </w:r>
          </w:p>
        </w:tc>
        <w:tc>
          <w:tcPr>
            <w:tcW w:type="dxa" w:w="11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b/>
                <w:bCs/>
                <w:color w:val="E65100"/>
                <w:sz w:val="18"/>
                <w:szCs w:val="18"/>
              </w:rPr>
              <w:t xml:space="preserve">P2</w:t>
            </w:r>
          </w:p>
        </w:tc>
        <w:tc>
          <w:tcPr>
            <w:tcW w:type="dxa" w:w="11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212121"/>
                <w:sz w:val="18"/>
                <w:szCs w:val="18"/>
              </w:rPr>
              <w:t xml:space="preserve">F2</w:t>
            </w:r>
          </w:p>
        </w:tc>
        <w:tc>
          <w:tcPr>
            <w:tcW w:type="dxa" w:w="20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color w:val="212121"/>
                <w:sz w:val="18"/>
                <w:szCs w:val="18"/>
              </w:rPr>
              <w:t xml:space="preserve">50+ casos</w:t>
            </w:r>
          </w:p>
        </w:tc>
      </w:tr>
      <w:tr>
        <w:tc>
          <w:tcPr>
            <w:tcW w:type="dxa" w:w="30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color w:val="212121"/>
                <w:sz w:val="18"/>
                <w:szCs w:val="18"/>
              </w:rPr>
              <w:t xml:space="preserve">100% WATCHLIST (posible sobreajuste)</w:t>
            </w:r>
          </w:p>
        </w:tc>
        <w:tc>
          <w:tcPr>
            <w:tcW w:type="dxa" w:w="106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212121"/>
                <w:sz w:val="18"/>
                <w:szCs w:val="18"/>
              </w:rPr>
              <w:t xml:space="preserve">Media</w:t>
            </w:r>
          </w:p>
        </w:tc>
        <w:tc>
          <w:tcPr>
            <w:tcW w:type="dxa" w:w="11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C62828"/>
                <w:sz w:val="18"/>
                <w:szCs w:val="18"/>
              </w:rPr>
              <w:t xml:space="preserve">Alto</w:t>
            </w:r>
          </w:p>
        </w:tc>
        <w:tc>
          <w:tcPr>
            <w:tcW w:type="dxa" w:w="11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b/>
                <w:bCs/>
                <w:color w:val="E65100"/>
                <w:sz w:val="18"/>
                <w:szCs w:val="18"/>
              </w:rPr>
              <w:t xml:space="preserve">P2</w:t>
            </w:r>
          </w:p>
        </w:tc>
        <w:tc>
          <w:tcPr>
            <w:tcW w:type="dxa" w:w="11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center"/>
            </w:pPr>
            <w:r>
              <w:rPr>
                <w:rFonts w:ascii="Arial" w:cs="Arial" w:eastAsia="Arial" w:hAnsi="Arial"/>
                <w:color w:val="212121"/>
                <w:sz w:val="18"/>
                <w:szCs w:val="18"/>
              </w:rPr>
              <w:t xml:space="preserve">F2/F4</w:t>
            </w:r>
          </w:p>
        </w:tc>
        <w:tc>
          <w:tcPr>
            <w:tcW w:type="dxa" w:w="20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jc w:val="left"/>
            </w:pPr>
            <w:r>
              <w:rPr>
                <w:rFonts w:ascii="Arial" w:cs="Arial" w:eastAsia="Arial" w:hAnsi="Arial"/>
                <w:color w:val="212121"/>
                <w:sz w:val="18"/>
                <w:szCs w:val="18"/>
              </w:rPr>
              <w:t xml:space="preserve">Calibrar umbrales</w:t>
            </w:r>
          </w:p>
        </w:tc>
      </w:tr>
    </w:tbl>
    <w:p>
      <w:r>
        <w:br w:type="page"/>
      </w:r>
    </w:p>
    <w:p>
      <w:pPr>
        <w:pStyle w:val="Heading1"/>
      </w:pPr>
      <w:r>
        <w:rPr>
          <w:rFonts w:ascii="Arial" w:cs="Arial" w:eastAsia="Arial" w:hAnsi="Arial"/>
        </w:rPr>
        <w:t xml:space="preserve">10. CONCLUSIONES</w:t>
      </w:r>
    </w:p>
    <w:p>
      <w:pPr>
        <w:spacing w:after="120"/>
      </w:pPr>
      <w:r>
        <w:rPr>
          <w:rFonts w:ascii="Arial" w:cs="Arial" w:eastAsia="Arial" w:hAnsi="Arial"/>
          <w:color w:val="212121"/>
          <w:sz w:val="22"/>
          <w:szCs w:val="22"/>
        </w:rPr>
        <w:t xml:space="preserve">ELSIAN INVEST 3.0 es un sistema de análisis de inversiones sofisticado y ambicioso que demuestra una arquitectura multi-modelo bien diseñada. Sin embargo, la auditoría exhaustiva revela áreas significativas de mejora que son necesarias antes de considerar el sistema como production-ready para operaciones de inversión reales.</w:t>
      </w:r>
    </w:p>
    <w:p>
      <w:pPr>
        <w:pStyle w:val="Heading2"/>
      </w:pPr>
      <w:r>
        <w:rPr>
          <w:rFonts w:ascii="Arial" w:cs="Arial" w:eastAsia="Arial" w:hAnsi="Arial"/>
        </w:rPr>
        <w:t xml:space="preserve">10.1 Fortalezas Confirmadas</w:t>
      </w:r>
    </w:p>
    <w:p>
      <w:pPr>
        <w:pStyle w:val="ListParagraph"/>
        <w:numPr>
          <w:ilvl w:val="0"/>
          <w:numId w:val="2"/>
        </w:numPr>
        <w:spacing w:after="60"/>
      </w:pPr>
      <w:r>
        <w:rPr>
          <w:rFonts w:ascii="Arial" w:cs="Arial" w:eastAsia="Arial" w:hAnsi="Arial"/>
          <w:sz w:val="20"/>
          <w:szCs w:val="20"/>
        </w:rPr>
        <w:t xml:space="preserve">Arquitectura multi-modelo con votación determinista y pérdida de información cero en la fusión (verificado matemáticamente en 604 votos)</w:t>
      </w:r>
    </w:p>
    <w:p>
      <w:pPr>
        <w:pStyle w:val="ListParagraph"/>
        <w:numPr>
          <w:ilvl w:val="0"/>
          <w:numId w:val="2"/>
        </w:numPr>
        <w:spacing w:after="60"/>
      </w:pPr>
      <w:r>
        <w:rPr>
          <w:rFonts w:ascii="Arial" w:cs="Arial" w:eastAsia="Arial" w:hAnsi="Arial"/>
          <w:sz w:val="20"/>
          <w:szCs w:val="20"/>
        </w:rPr>
        <w:t xml:space="preserve">Sistema de estado atómico con locks y patrón write-tmp-rename que previene corrupción de datos</w:t>
      </w:r>
    </w:p>
    <w:p>
      <w:pPr>
        <w:pStyle w:val="ListParagraph"/>
        <w:numPr>
          <w:ilvl w:val="0"/>
          <w:numId w:val="2"/>
        </w:numPr>
        <w:spacing w:after="60"/>
      </w:pPr>
      <w:r>
        <w:rPr>
          <w:rFonts w:ascii="Arial" w:cs="Arial" w:eastAsia="Arial" w:hAnsi="Arial"/>
          <w:sz w:val="20"/>
          <w:szCs w:val="20"/>
        </w:rPr>
        <w:t xml:space="preserve">32 schemas JSON bien definidos como contratos de datos entre pasos del pipeline</w:t>
      </w:r>
    </w:p>
    <w:p>
      <w:pPr>
        <w:pStyle w:val="ListParagraph"/>
        <w:numPr>
          <w:ilvl w:val="0"/>
          <w:numId w:val="2"/>
        </w:numPr>
        <w:spacing w:after="60"/>
      </w:pPr>
      <w:r>
        <w:rPr>
          <w:rFonts w:ascii="Arial" w:cs="Arial" w:eastAsia="Arial" w:hAnsi="Arial"/>
          <w:sz w:val="20"/>
          <w:szCs w:val="20"/>
        </w:rPr>
        <w:t xml:space="preserve">33 instrucciones de agente versionadas con separación clara de responsabilidades</w:t>
      </w:r>
    </w:p>
    <w:p>
      <w:pPr>
        <w:pStyle w:val="ListParagraph"/>
        <w:numPr>
          <w:ilvl w:val="0"/>
          <w:numId w:val="2"/>
        </w:numPr>
        <w:spacing w:after="60"/>
      </w:pPr>
      <w:r>
        <w:rPr>
          <w:rFonts w:ascii="Arial" w:cs="Arial" w:eastAsia="Arial" w:hAnsi="Arial"/>
          <w:sz w:val="20"/>
          <w:szCs w:val="20"/>
        </w:rPr>
        <w:t xml:space="preserve">Sistema de diagnóstico robusto con artefactos de fallo y logs detallados</w:t>
      </w:r>
    </w:p>
    <w:p>
      <w:pPr>
        <w:pStyle w:val="ListParagraph"/>
        <w:numPr>
          <w:ilvl w:val="0"/>
          <w:numId w:val="2"/>
        </w:numPr>
        <w:spacing w:after="60"/>
      </w:pPr>
      <w:r>
        <w:rPr>
          <w:rFonts w:ascii="Arial" w:cs="Arial" w:eastAsia="Arial" w:hAnsi="Arial"/>
          <w:sz w:val="20"/>
          <w:szCs w:val="20"/>
        </w:rPr>
        <w:t xml:space="preserve">Tasa de éxito global del 75.9% en votación de calidad</w:t>
      </w:r>
    </w:p>
    <w:p>
      <w:pPr>
        <w:pStyle w:val="Heading2"/>
      </w:pPr>
      <w:r>
        <w:rPr>
          <w:rFonts w:ascii="Arial" w:cs="Arial" w:eastAsia="Arial" w:hAnsi="Arial"/>
        </w:rPr>
        <w:t xml:space="preserve">10.2 Áreas Críticas de Mejora</w:t>
      </w:r>
    </w:p>
    <w:p>
      <w:pPr>
        <w:pStyle w:val="ListParagraph"/>
        <w:numPr>
          <w:ilvl w:val="0"/>
          <w:numId w:val="2"/>
        </w:numPr>
        <w:spacing w:after="60"/>
      </w:pPr>
      <w:r>
        <w:rPr>
          <w:rFonts w:ascii="Arial" w:cs="Arial" w:eastAsia="Arial" w:hAnsi="Arial"/>
          <w:sz w:val="20"/>
          <w:szCs w:val="20"/>
        </w:rPr>
        <w:t xml:space="preserve">Validación de identidad corporativa inexistente: el caso TEP demuestra que el pipeline puede analizar una empresa completamente diferente sin detectarlo</w:t>
      </w:r>
    </w:p>
    <w:p>
      <w:pPr>
        <w:pStyle w:val="ListParagraph"/>
        <w:numPr>
          <w:ilvl w:val="0"/>
          <w:numId w:val="2"/>
        </w:numPr>
        <w:spacing w:after="60"/>
      </w:pPr>
      <w:r>
        <w:rPr>
          <w:rFonts w:ascii="Arial" w:cs="Arial" w:eastAsia="Arial" w:hAnsi="Arial"/>
          <w:sz w:val="20"/>
          <w:szCs w:val="20"/>
        </w:rPr>
        <w:t xml:space="preserve">Claude ARBITRO con 33% de fallos sistemáticos: el paso más crítico del pipeline (decisión final) tiene un modelo con problemas de generación de campos</w:t>
      </w:r>
    </w:p>
    <w:p>
      <w:pPr>
        <w:pStyle w:val="ListParagraph"/>
        <w:numPr>
          <w:ilvl w:val="0"/>
          <w:numId w:val="2"/>
        </w:numPr>
        <w:spacing w:after="60"/>
      </w:pPr>
      <w:r>
        <w:rPr>
          <w:rFonts w:ascii="Arial" w:cs="Arial" w:eastAsia="Arial" w:hAnsi="Arial"/>
          <w:sz w:val="20"/>
          <w:szCs w:val="20"/>
        </w:rPr>
        <w:t xml:space="preserve">Soporte internacional inmaduro: 5 tickers no-US muestran penalización sistemática de 10-25 puntos en confianza por gaps de datos inherentes al mercado</w:t>
      </w:r>
    </w:p>
    <w:p>
      <w:pPr>
        <w:pStyle w:val="ListParagraph"/>
        <w:numPr>
          <w:ilvl w:val="0"/>
          <w:numId w:val="2"/>
        </w:numPr>
        <w:spacing w:after="60"/>
      </w:pPr>
      <w:r>
        <w:rPr>
          <w:rFonts w:ascii="Arial" w:cs="Arial" w:eastAsia="Arial" w:hAnsi="Arial"/>
          <w:sz w:val="20"/>
          <w:szCs w:val="20"/>
        </w:rPr>
        <w:t xml:space="preserve">Portabilidad nula: rutas hardcoded a macOS impiden despliegue en cualquier otro entorno</w:t>
      </w:r>
    </w:p>
    <w:p>
      <w:pPr>
        <w:pStyle w:val="ListParagraph"/>
        <w:numPr>
          <w:ilvl w:val="0"/>
          <w:numId w:val="2"/>
        </w:numPr>
        <w:spacing w:after="60"/>
      </w:pPr>
      <w:r>
        <w:rPr>
          <w:rFonts w:ascii="Arial" w:cs="Arial" w:eastAsia="Arial" w:hAnsi="Arial"/>
          <w:sz w:val="20"/>
          <w:szCs w:val="20"/>
        </w:rPr>
        <w:t xml:space="preserve">100% WATCHLIST en decisiones: posible sobreajuste del umbral de catalizador (51% medio) que impide que ninguna empresa alcance INVEST</w:t>
      </w:r>
    </w:p>
    <w:p>
      <w:pPr>
        <w:pStyle w:val="Heading2"/>
      </w:pPr>
      <w:r>
        <w:rPr>
          <w:rFonts w:ascii="Arial" w:cs="Arial" w:eastAsia="Arial" w:hAnsi="Arial"/>
        </w:rPr>
        <w:t xml:space="preserve">10.3 Prioridades Inmediatas</w:t>
      </w:r>
    </w:p>
    <w:p>
      <w:pPr>
        <w:spacing w:after="120"/>
      </w:pPr>
      <w:r>
        <w:rPr>
          <w:rFonts w:ascii="Arial" w:cs="Arial" w:eastAsia="Arial" w:hAnsi="Arial"/>
          <w:color w:val="212121"/>
          <w:sz w:val="22"/>
          <w:szCs w:val="22"/>
        </w:rPr>
        <w:t xml:space="preserve">Las 3 acciones de mayor retorno de inversión son:</w:t>
      </w:r>
    </w:p>
    <w:p>
      <w:pPr>
        <w:pStyle w:val="ListParagraph"/>
        <w:numPr>
          <w:ilvl w:val="0"/>
          <w:numId w:val="3"/>
        </w:numPr>
        <w:spacing w:after="60"/>
      </w:pPr>
      <w:r>
        <w:rPr>
          <w:rFonts w:ascii="Arial" w:cs="Arial" w:eastAsia="Arial" w:hAnsi="Arial"/>
          <w:sz w:val="20"/>
          <w:szCs w:val="20"/>
        </w:rPr>
        <w:t xml:space="preserve">Implementar validación de identidad corporativa (6h) — elimina el riesgo de análisis de empresa incorrecta</w:t>
      </w:r>
    </w:p>
    <w:p>
      <w:pPr>
        <w:pStyle w:val="ListParagraph"/>
        <w:numPr>
          <w:ilvl w:val="0"/>
          <w:numId w:val="3"/>
        </w:numPr>
        <w:spacing w:after="60"/>
      </w:pPr>
      <w:r>
        <w:rPr>
          <w:rFonts w:ascii="Arial" w:cs="Arial" w:eastAsia="Arial" w:hAnsi="Arial"/>
          <w:sz w:val="20"/>
          <w:szCs w:val="20"/>
        </w:rPr>
        <w:t xml:space="preserve">Ajustar instrucciones de ARBITRO para Claude (3h) — reduce 33% de fallos en el paso de decisión final</w:t>
      </w:r>
    </w:p>
    <w:p>
      <w:pPr>
        <w:pStyle w:val="ListParagraph"/>
        <w:numPr>
          <w:ilvl w:val="0"/>
          <w:numId w:val="3"/>
        </w:numPr>
        <w:spacing w:after="60"/>
      </w:pPr>
      <w:r>
        <w:rPr>
          <w:rFonts w:ascii="Arial" w:cs="Arial" w:eastAsia="Arial" w:hAnsi="Arial"/>
          <w:sz w:val="20"/>
          <w:szCs w:val="20"/>
        </w:rPr>
        <w:t xml:space="preserve">Portabilizar rutas de binarios (2h) — habilita despliegue en Linux y CI/CD</w:t>
      </w:r>
    </w:p>
    <w:p>
      <w:pPr>
        <w:spacing w:after="120"/>
      </w:pPr>
      <w:r>
        <w:rPr>
          <w:rFonts w:ascii="Arial" w:cs="Arial" w:eastAsia="Arial" w:hAnsi="Arial"/>
          <w:color w:val="212121"/>
          <w:sz w:val="22"/>
          <w:szCs w:val="22"/>
        </w:rPr>
        <w:t xml:space="preserve"/>
      </w:r>
    </w:p>
    <w:p>
      <w:pPr>
        <w:spacing w:after="120"/>
      </w:pPr>
      <w:r>
        <w:rPr>
          <w:rFonts w:ascii="Arial" w:cs="Arial" w:eastAsia="Arial" w:hAnsi="Arial"/>
          <w:i/>
          <w:iCs/>
          <w:color w:val="212121"/>
          <w:sz w:val="22"/>
          <w:szCs w:val="22"/>
        </w:rPr>
        <w:t xml:space="preserve">Con estas 3 mejoras (estimadas en 11 horas totales), el sistema ganaría significativamente en fiabilidad y portabilidad. Las fases posteriores del plan maestro (robustez, soporte internacional, monitorización) son inversiones a medio plazo que elevarán la calidad de análisis y la cobertura de mercados.</w:t>
      </w:r>
    </w:p>
    <w:p>
      <w:pPr>
        <w:pBdr>
          <w:bottom w:val="single" w:color="2E75B6" w:sz="3" w:space="8"/>
        </w:pBdr>
        <w:spacing w:before="200" w:after="200"/>
      </w:pPr>
    </w:p>
    <w:p>
      <w:pPr>
        <w:spacing w:after="120"/>
      </w:pPr>
      <w:r>
        <w:rPr>
          <w:rFonts w:ascii="Arial" w:cs="Arial" w:eastAsia="Arial" w:hAnsi="Arial"/>
          <w:i/>
          <w:iCs/>
          <w:color w:val="616161"/>
          <w:sz w:val="22"/>
          <w:szCs w:val="22"/>
        </w:rPr>
        <w:t xml:space="preserve">Fin del informe. Documento generado el 24 de febrero de 2026.</w:t>
      </w:r>
    </w:p>
    <w:p>
      <w:pPr>
        <w:spacing w:after="120"/>
      </w:pPr>
      <w:r>
        <w:rPr>
          <w:rFonts w:ascii="Arial" w:cs="Arial" w:eastAsia="Arial" w:hAnsi="Arial"/>
          <w:color w:val="616161"/>
          <w:sz w:val="18"/>
          <w:szCs w:val="18"/>
        </w:rPr>
        <w:t xml:space="preserve">Todas las métricas y hallazgos se basan en el análisis de 14 casos, 632 eventos de votación, 139 errores catalogados, 5,000+ archivos del repositorio, y la lectura completa del código fuente del engine (24 módulos Python, 8,000+ líneas).</w:t>
      </w:r>
    </w:p>
    <w:sectPr>
      <w:headerReference w:type="default" r:id="rId8"/>
      <w:footerReference w:type="default" r:id="rId9"/>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16161"/>
        <w:sz w:val="16"/>
        <w:szCs w:val="16"/>
      </w:rPr>
      <w:t xml:space="preserve">Página </w:t>
    </w:r>
    <w:r>
      <w:rPr>
        <w:rFonts w:ascii="Arial" w:cs="Arial" w:eastAsia="Arial" w:hAnsi="Arial"/>
        <w:color w:val="616161"/>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16161"/>
        <w:sz w:val="16"/>
        <w:szCs w:val="16"/>
      </w:rPr>
      <w:t xml:space="preserve">Página </w:t>
    </w:r>
    <w:r>
      <w:rPr>
        <w:rFonts w:ascii="Arial" w:cs="Arial" w:eastAsia="Arial" w:hAnsi="Arial"/>
        <w:color w:val="616161"/>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tabs>
        <w:tab w:val="right" w:pos="9026"/>
      </w:tabs>
    </w:pPr>
    <w:r>
      <w:rPr>
        <w:rFonts w:ascii="Arial" w:cs="Arial" w:eastAsia="Arial" w:hAnsi="Arial"/>
        <w:color w:val="616161"/>
        <w:sz w:val="16"/>
        <w:szCs w:val="16"/>
      </w:rPr>
      <w:t xml:space="preserve">ELSIAN INVEST 3.0 — Informe Maestro de Auditoría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pPr>
    <w:r>
      <w:rPr>
        <w:rFonts w:ascii="Arial" w:cs="Arial" w:eastAsia="Arial" w:hAnsi="Arial"/>
        <w:color w:val="616161"/>
        <w:sz w:val="16"/>
        <w:szCs w:val="16"/>
      </w:rPr>
      <w:t xml:space="preserve">ELSIAN INVEST 3.0 — Informe Maestro de Auditoría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1212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75B6"/>
      <w:sz w:val="30"/>
      <w:szCs w:val="30"/>
    </w:rPr>
  </w:style>
  <w:style w:type="paragraph" w:styleId="Heading3">
    <w:name w:val="Heading 3"/>
    <w:basedOn w:val="Normal"/>
    <w:next w:val="Normal"/>
    <w:qFormat/>
    <w:pPr>
      <w:spacing w:before="200" w:after="120"/>
      <w:outlineLvl w:val="2"/>
    </w:pPr>
    <w:rPr>
      <w:rFonts w:ascii="Arial" w:cs="Arial" w:eastAsia="Arial" w:hAnsi="Arial"/>
      <w:b/>
      <w:bCs/>
      <w:color w:val="1B3A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2026-02-24T10:16:52.960Z</dcterms:created>
  <dcterms:modified xsi:type="dcterms:W3CDTF">2026-02-24T10:16:52.960Z</dcterms:modified>
</cp:coreProperties>
</file>

<file path=docProps/custom.xml><?xml version="1.0" encoding="utf-8"?>
<Properties xmlns="http://schemas.openxmlformats.org/officeDocument/2006/custom-properties" xmlns:vt="http://schemas.openxmlformats.org/officeDocument/2006/docPropsVTypes"/>
</file>