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ALOPECIA ANDROGENÉTICA FEMININA E SAÚDE GASTROINTESTINAL: ESTUDO DE CASO DE UM PROTOCOLO ESTÉTICO COM FOTOBIOMODULAÇÃO, INTRADERMOTERAPIA CAPILAR E CUIDADO DOMICILIAR</w:t>
      </w:r>
    </w:p>
    <w:p>
      <w:pPr>
        <w:spacing w:after="0" w:line="2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Paola Bortoli Pinheiro Lopes</w:t>
      </w:r>
      <w:r>
        <w:rPr>
          <w:rStyle w:val="FootnoteReference"/>
        </w:rPr>
        <w:footnoteReference w:id="1"/>
      </w:r>
    </w:p>
    <w:p>
      <w:pPr>
        <w:spacing w:after="0" w:line="2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Marcia de Liz</w:t>
      </w:r>
      <w:r>
        <w:rPr>
          <w:rStyle w:val="FootnoteReference"/>
        </w:rPr>
        <w:footnoteReference w:id="2"/>
      </w:r>
    </w:p>
    <w:p>
      <w:pPr>
        <w:spacing w:after="240" w:line="2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Mariana Macedo Justi</w:t>
      </w:r>
      <w:r>
        <w:rPr>
          <w:rStyle w:val="FootnoteReference"/>
        </w:rPr>
        <w:footnoteReference w:id="3"/>
      </w:r>
    </w:p>
    <w:p>
      <w:pPr>
        <w:pStyle w:val="Heading1"/>
        <w:spacing w:after="120" w:before="240" w:line="2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1 INTRODUÇÃO</w:t>
      </w:r>
    </w:p>
    <w:p>
      <w:pPr>
        <w:spacing w:after="0" w:line="24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A alopecia androgenética (AAG) é a forma mais comum de perda capilar progressiva e decorre da ação da di-hidrotestosterona (DHT) sobre folículos geneticamente predispostos. Conforme Ho, Sood e Zito (2024), no couro cabeludo afetado há aumento da produção de DHT, elevação da atividade da enzima 5-alfa-redutase e maior densidade de receptores androgênicos, o que encurta a fase anágena e conduz à miniaturização folicular progressiva. Na mulher, o quadro manifesta-se como rarefação difusa da região do topo, com preservação da linha frontal de implantação (Singal; Sonthalia; Verma, 2013).</w:t>
      </w:r>
    </w:p>
    <w:p>
      <w:pPr>
        <w:spacing w:after="0" w:line="24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A prevalência da condição aumenta com a idade, passando de cerca de 1,3% entre 18 e 29 anos para aproximadamente 11,8% após os 70 anos (Singal; Sonthalia; Verma, 2013). Além do impacto estético, a alopecia androgenética feminina (AAF) associa-se a repercussões emocionais relevantes, o que justifica a busca por condutas estéticas seguras, não invasivas e apoiadas em evidências científicas.</w:t>
      </w:r>
    </w:p>
    <w:p>
      <w:pPr>
        <w:spacing w:after="0" w:line="24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Embora a etiologia da AAF seja primariamente genético-hormonal, trata-se de uma condição multifatorial, cuja velocidade de progressão pode ser modulada por fatores nutricionais, oxidativos, medicamentosos, comportamentais e etários. Nesse contexto, alterações gastrointestinais crônicas ganham relevância clínica: ao comprometerem a absorção de proteínas, ferro, vitamina B12 e zinco, podem privar o folículo dos substratos necessários à síntese da haste, agravando a miniaturização de um folículo já suscetível.</w:t>
      </w:r>
    </w:p>
    <w:p>
      <w:pPr>
        <w:spacing w:after="0" w:line="24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O presente estudo de caso acompanha uma paciente de 60 anos com diagnóstico estético-funcional de AAF, predisposição genética documentada (pai com calvície), gastrite crônica em tratamento e histórico de infecção por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aps w:val="false"/>
          <w:sz w:val="24"/>
          <w:szCs w:val="24"/>
        </w:rPr>
        <w:t xml:space="preserve">Helicobacter pylori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 já erradicada e confirmada por exames. Cabe registrar, desde a introdução, uma delimitação metodológica essencial: não se pretende, neste trabalho, afirmar relação causal direta entre a infecção pregressa e a instalação da alopecia. A literatura disponível permite sustentar apenas a existência de fatores associados e de mecanismos compartilhados plausíveis — sobretudo a má absorção de micronutrientes e o estresse oxidativo —, e é nessa condição de fator coadjuvante, e não de causa, que a condição gastrointestinal é aqui discutida.</w:t>
      </w:r>
    </w:p>
    <w:p>
      <w:pPr>
        <w:spacing w:after="0" w:line="24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Assim, o objetivo geral deste artigo é descrever um protocolo estético fundamentado em fotobiomodulação, intradermoterapia capilar e cuidado domiciliar, conduzido em paralelo ao acompanhamento médico, para o controle da miniaturização folicular de uma paciente com alopecia androgenética feminina. Como objetivos específicos, buscou-se descrever a fisiopatologia da AAF, apresentar o diagnóstico estético-funcional obtido por tricoscopia, fundamentar cientificamente os recursos empregados e descrever o protocolo aplicado.</w:t>
      </w:r>
    </w:p>
    <w:p>
      <w:pPr>
        <w:pStyle w:val="Heading1"/>
        <w:spacing w:after="120" w:before="240" w:line="2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2 DESENVOLVIMENTO</w:t>
      </w:r>
    </w:p>
    <w:p>
      <w:pPr>
        <w:pStyle w:val="Heading2"/>
        <w:spacing w:after="120" w:before="240" w:line="2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2.1 Fisiopatologia da alopecia androgenética feminina</w:t>
      </w:r>
    </w:p>
    <w:p>
      <w:pPr>
        <w:pStyle w:val="Heading3"/>
        <w:spacing w:after="120" w:before="240" w:line="2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2.1.1 Base genética e hormonal</w:t>
      </w:r>
    </w:p>
    <w:p>
      <w:pPr>
        <w:spacing w:after="0" w:line="24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A patogênese da AAG centra-se na conversão da testosterona em DHT pela 5-alfa-redutase. Ho, Sood e Zito (2024) descrevem a redução da relação anágeno/telógeno — normalmente próxima de 12:1 — e a miniaturização progressiva, sendo a isoforma tipo 2 da enzima a principal envolvida. Ntshingila et al. (2023) acrescentam que o excesso de DHT, gerado pela 5-alfa-redutase tipo 2 (SRD5A2), substitui fios terminais por velos e encurta a fase anágena. Ustuner (2013) ressalta o paradoxo de a DHT estimular pelos em outras regiões corporais enquanto promove miniaturização no couro cabeludo.</w:t>
      </w:r>
    </w:p>
    <w:p>
      <w:pPr>
        <w:spacing w:after="0" w:line="24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No plano genético, Martinez-Jacobo et al. (2018) caracterizam a AAG como fenótipo poligênico, com herdabilidade estimada em 0,81; o gene do receptor androgênico (AR), localizado no cromossomo X, contribui com até 40% do risco — dado coerente com o histórico familiar da paciente, cujo pai apresenta calvície.</w:t>
      </w:r>
    </w:p>
    <w:p>
      <w:pPr>
        <w:pStyle w:val="Heading3"/>
        <w:spacing w:after="120" w:before="240" w:line="2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2.1.2 Quadro clínico, classificação e diagnóstico tricoscópico</w:t>
      </w:r>
    </w:p>
    <w:p>
      <w:pPr>
        <w:spacing w:after="0" w:line="24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Singal, Sonthalia e Verma (2013) classificam a gravidade da AAF pela escala de Ludwig, em três estágios, caracterizados pelo afinamento difuso da coroa com preservação da linha frontal. A tricoscopia é o exame de eleição para o diagnóstico não invasivo: a revisão sistemática de Kuczara et al. (2024), com 34 estudos e 2.860 pacientes, identificou a variabilidade do diâmetro dos fios (anisotricose) como o marcador mais confiável da AAG, presente em cerca de 90% dos casos da forma feminina, seguida dos pelos velos. Galliker e Trüeb (2012) demonstraram que a tricoscopia supera o tricograma na acurácia diagnóstica (72% versus 62%), e Michelle, Shilpa e Leelavathy (2022) correlacionaram a redução do diâmetro e da densidade dos fios com a gravidade do quadro (p&lt;0,001).</w:t>
      </w:r>
    </w:p>
    <w:p>
      <w:pPr>
        <w:spacing w:line="240"/>
      </w:pPr>
    </w:p>
    <w:p>
      <w:pPr>
        <w:spacing w:after="0" w:line="240"/>
        <w:jc w:val="left"/>
      </w:pPr>
      <w:r>
        <w:rPr>
          <w:rFonts w:ascii="Times New Roman" w:cs="Times New Roman" w:eastAsia="Times New Roman" w:hAnsi="Times New Roman"/>
          <w:b/>
          <w:bCs/>
          <w:caps w:val="false"/>
          <w:sz w:val="24"/>
          <w:szCs w:val="24"/>
        </w:rPr>
        <w:t xml:space="preserve">Figura 1 – Escala de Ludwig para classificação da alopecia androgenética feminina</w:t>
      </w:r>
    </w:p>
    <w:p>
      <w:pPr>
        <w:spacing w:after="60" w:line="240"/>
        <w:jc w:val="center"/>
      </w:pPr>
      <w:r>
        <w:drawing>
          <wp:inline distT="0" distB="0" distL="0" distR="0">
            <wp:extent cx="3619500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0"/>
          <w:szCs w:val="20"/>
        </w:rPr>
        <w:t xml:space="preserve">Fonte: adaptado de Singal, Sonthalia e Verma (2013).</w:t>
      </w:r>
    </w:p>
    <w:p>
      <w:pPr>
        <w:pStyle w:val="Heading2"/>
        <w:spacing w:after="120" w:before="240" w:line="2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2.2 Fatores sistêmicos associados à progressão da alopecia</w:t>
      </w:r>
    </w:p>
    <w:p>
      <w:pPr>
        <w:pStyle w:val="Heading3"/>
        <w:spacing w:after="120" w:before="240" w:line="2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2.2.1 Alterações gastrointestinais e absorção de micronutrientes</w:t>
      </w:r>
    </w:p>
    <w:p>
      <w:pPr>
        <w:spacing w:after="0" w:line="24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A infecção por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aps w:val="false"/>
          <w:sz w:val="24"/>
          <w:szCs w:val="24"/>
        </w:rPr>
        <w:t xml:space="preserve">Helicobacter pylori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 é reconhecidamente associada à anemia ferropriva, conforme metanálise publicada no World Journal of Gastroenterology (Does..., 2010). O mecanismo envolve a gastrite crônica, a redução da acidez gástrica e o consequente prejuízo na absorção de ferro e de vitamina B12. Soma-se a esse quadro o efeito do próprio tratamento: o uso prolongado de inibidores da bomba de prótons, indicado no manejo da gastrite, reduz a acidez estomacal necessária à liberação do ferro não heme e à absorção da vitamina B12, podendo contribuir para deficiências nutricionais subclínicas.</w:t>
      </w:r>
    </w:p>
    <w:p>
      <w:pPr>
        <w:spacing w:after="0" w:line="24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A relevância capilar dessas deficiências está documentada. Kantor et al. (2003) associaram a ferritina sérica baixa à alopecia feminina, com média de 37,3 ng/mL nas pacientes contra 59,5 ng/mL nos controles. Revisão sistemática com metanálise sobre deficiência de ferro e alopecias não cicatriciais em mulheres (Iron..., 2022) reforça essa associação, e Guo e Katta (2017) descrevem o papel do ferro, do zinco, da vitamina B12 e do aporte proteico na manutenção da fase anágena, uma vez que o folículo piloso é uma das estruturas de maior taxa mitótica do organismo.</w:t>
      </w:r>
    </w:p>
    <w:p>
      <w:pPr>
        <w:spacing w:after="0" w:line="24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É indispensável, porém, delimitar o alcance dessa correlação. A maior parte da evidência que associa diretamente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aps w:val="false"/>
          <w:sz w:val="24"/>
          <w:szCs w:val="24"/>
        </w:rPr>
        <w:t xml:space="preserve">H. pylori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 à queda capilar refere-se à alopecia areata, condição de natureza autoimune, e não à alopecia androgenética. Não há, na literatura consultada, evidência que autorize afirmar que a infecção cause a AAF. O que se pode sustentar cientificamente é a existência de uma ponte mecanística indireta e plausível: infecção e gastrite crônicas comprometem a absorção de micronutrientes e aumentam o estresse oxidativo sistêmico, e ambos os fenômenos estão documentadamente associados ao agravamento da queda capilar. A condição gastrointestinal é, portanto, tratada neste estudo como fator coadjuvante e potencialmente acelerador, jamais como causa determinante.</w:t>
      </w:r>
    </w:p>
    <w:p>
      <w:pPr>
        <w:pStyle w:val="Heading3"/>
        <w:spacing w:after="120" w:before="240" w:line="2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2.2.2 Estresse oxidativo e ambiente folicular</w:t>
      </w:r>
    </w:p>
    <w:p>
      <w:pPr>
        <w:spacing w:after="0" w:line="24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Prie et al. (2016) evidenciaram estresse oxidativo em pacientes com alopecia androgenética, com redução da capacidade antioxidante total, elevação do malondialdeído (p&lt;0,001) e queda da superóxido dismutase. O estresse oxidativo, a inflamação sistêmica de baixo grau e o comprometimento da microcirculação perifolicular constituem, assim, o elo mecanístico compartilhado entre a condição gastrointestinal e a progressão da alopecia, sem que se estabeleça entre elas qualquer relação determinística.</w:t>
      </w:r>
    </w:p>
    <w:p>
      <w:pPr>
        <w:pStyle w:val="Heading2"/>
        <w:spacing w:after="120" w:before="240" w:line="2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2.3 Recursos estéticos empregados</w:t>
      </w:r>
    </w:p>
    <w:p>
      <w:pPr>
        <w:pStyle w:val="Heading3"/>
        <w:spacing w:after="120" w:before="240" w:line="2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2.3.1 Fotobiomodulação</w:t>
      </w:r>
    </w:p>
    <w:p>
      <w:pPr>
        <w:spacing w:after="0" w:line="24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A fotobiomodulação foi escolhida por ser modalidade não invasiva, segura e com eficácia demonstrada em ensaios clínicos randomizados para a alopecia androgenética. Seu benefício decorre do estímulo à produção de ATP nas células foliculares, da melhora da microcirculação do couro cabeludo e do prolongamento da fase anágena, o que favorece o aumento da densidade capilar (Avci et al., 2014). Yoon et al. (2020), em ensaio randomizado, duplo-cego e controlado por dispositivo simulado, obtiveram ganho de aproximadamente 41,9 fios/cm² sem efeitos adversos, e Sondagar et al. (2023) confirmaram a melhora da densidade em ensaio controlado.</w:t>
      </w:r>
    </w:p>
    <w:p>
      <w:pPr>
        <w:spacing w:after="0" w:line="24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Pillai e Mysore (2022) sintetizam os parâmetros usualmente adotados: luz vermelha na faixa de 650 a 660 nm, fluências de 1 a 10 J/cm² e sessões de 15 a 20 minutos. Com base na resposta bifásica descrita por Avci et al. (2014) — segundo a qual doses baixas estimulam e doses elevadas inibem —, priorizaram-se fluências baixas. A associação da fotobiomodulação a outros recursos, como a intradermoterapia, encontra respaldo na literatura de terapia combinada, que indica benefício ao menos equivalente ao da monoterapia, sem efeitos adversos atribuíveis à associação (Kaiser et al., 2022).</w:t>
      </w:r>
    </w:p>
    <w:p>
      <w:pPr>
        <w:pStyle w:val="Heading3"/>
        <w:spacing w:after="120" w:before="240" w:line="2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2.3.2 Intradermoterapia capilar</w:t>
      </w:r>
    </w:p>
    <w:p>
      <w:pPr>
        <w:spacing w:after="0" w:line="24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A intradermoterapia, ou mesoterapia capilar, consiste em microinjeções de ativos diretamente no couro cabeludo, garantindo biodisponibilidade local. Seu principal benefício, neste caso, é entregar os princípios ativos exatamente onde são necessários, contornando as barreiras de absorção gastrointestinal descritas na seção 2.2.1. Uzel et al. (2021), em ensaio randomizado e controlado por placebo com 54 mulheres, observaram aumento da razão entre fios terminais e velos com minoxidil intradérmico; Aledani et al. (2024), em revisão sistemática, posicionam a mesoterapia como alternativa eficaz ao minoxidil tópico; e Stefanis et al. (2024) registraram melhora de densidade com mesoterapia de fatores de crescimento. Revisão sistemática sobre mesoterapia na queda capilar (Systematic..., 2023) corrobora a modalidade como recurso complementar.</w:t>
      </w:r>
    </w:p>
    <w:p>
      <w:pPr>
        <w:pStyle w:val="Heading3"/>
        <w:spacing w:after="120" w:before="240" w:line="2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2.3.3 Cuidado domiciliar</w:t>
      </w:r>
    </w:p>
    <w:p>
      <w:pPr>
        <w:spacing w:after="0" w:line="24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O cuidado domiciliar sustenta, entre as sessões, o resultado obtido em cabine. Empregou-se tônico capilar à base de Capilia Longa, derivado da cúrcuma, que auxilia na inibição da conversão de testosterona em di-hidrotestosterona, associado a orientações de higienização adequada do couro cabeludo, alimentação equilibrada com atenção ao aporte de ferro, vitamina B12 e zinco, manejo do estresse e higiene do sono.</w:t>
      </w:r>
    </w:p>
    <w:p>
      <w:pPr>
        <w:pStyle w:val="Heading1"/>
        <w:spacing w:after="120" w:before="240" w:line="2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3 MÉTODO</w:t>
      </w:r>
    </w:p>
    <w:p>
      <w:pPr>
        <w:pStyle w:val="Heading2"/>
        <w:spacing w:after="120" w:before="240" w:line="2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3.1 Tipo de estudo</w:t>
      </w:r>
    </w:p>
    <w:p>
      <w:pPr>
        <w:spacing w:after="0" w:line="24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Trata-se de pesquisa qualitativa, do tipo estudo de caso descritivo, com amostra composta por uma única paciente do sexo feminino. O referencial teórico foi construído a partir de artigos científicos indexados nas bases PubMed/PMC e SciELO, de periódicos de dermatologia e tricologia e de livros-texto da área.</w:t>
      </w:r>
    </w:p>
    <w:p>
      <w:pPr>
        <w:pStyle w:val="Heading2"/>
        <w:spacing w:after="120" w:before="240" w:line="2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3.2 Caracterização da paciente</w:t>
      </w:r>
    </w:p>
    <w:p>
      <w:pPr>
        <w:spacing w:after="0" w:line="24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Paciente do sexo feminino, 60 anos ao início do acompanhamento, com queixa principal de queda capilar na região do topo (vértice) do couro cabeludo e rarefação progressiva, com tempo de evolução aproximado de três anos. Apresenta histórico familiar de calvície (pai), gastrite crônica em tratamento medicamentoso, infecção pregressa por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aps w:val="false"/>
          <w:sz w:val="24"/>
          <w:szCs w:val="24"/>
        </w:rPr>
        <w:t xml:space="preserve">Helicobacter pylori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 já erradicada e confirmada por exames recentes (Anexos A a G), alterações hormonais, histórico de procedimentos químicos capilares (mechas e coloração), nível de estresse elevado e sono fragmentado. Faz uso contínuo de medicação para controle pressórico e cardiovascular, cuja bula descreve, entre os efeitos adversos possíveis, edema e retenção hídrica.</w:t>
      </w:r>
    </w:p>
    <w:p>
      <w:pPr>
        <w:pStyle w:val="Heading2"/>
        <w:spacing w:after="120" w:before="240" w:line="2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3.3 Instrumentos de avaliação</w:t>
      </w:r>
    </w:p>
    <w:p>
      <w:pPr>
        <w:spacing w:after="0" w:line="24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A coleta de dados utilizou ficha de anamnese capilar (Anexo H), avaliação por tricoscopia com fotovideodermatoscópio e registro fotográfico padronizado, mantidos a mesma iluminação, o mesmo enquadramento e a mesma distância, para permitir comparação evolutiva.</w:t>
      </w:r>
    </w:p>
    <w:p>
      <w:pPr>
        <w:spacing w:line="240"/>
      </w:pPr>
    </w:p>
    <w:p>
      <w:pPr>
        <w:spacing w:after="0" w:line="240"/>
        <w:jc w:val="left"/>
      </w:pPr>
      <w:r>
        <w:rPr>
          <w:rFonts w:ascii="Times New Roman" w:cs="Times New Roman" w:eastAsia="Times New Roman" w:hAnsi="Times New Roman"/>
          <w:b/>
          <w:bCs/>
          <w:caps w:val="false"/>
          <w:sz w:val="24"/>
          <w:szCs w:val="24"/>
        </w:rPr>
        <w:t xml:space="preserve">Figura 2 – Tricoscopia do couro cabeludo: diversidade de calibre dos fios e óstios foliculares</w:t>
      </w:r>
    </w:p>
    <w:p>
      <w:pPr>
        <w:spacing w:after="60" w:line="240"/>
        <w:jc w:val="center"/>
      </w:pPr>
      <w:r>
        <w:drawing>
          <wp:inline distT="0" distB="0" distL="0" distR="0">
            <wp:extent cx="3619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0"/>
          <w:szCs w:val="20"/>
        </w:rPr>
        <w:t xml:space="preserve">Fonte: arquivo da autora (2026).</w:t>
      </w:r>
    </w:p>
    <w:p>
      <w:pPr>
        <w:spacing w:after="0" w:line="240"/>
        <w:jc w:val="left"/>
      </w:pPr>
      <w:r>
        <w:rPr>
          <w:rFonts w:ascii="Times New Roman" w:cs="Times New Roman" w:eastAsia="Times New Roman" w:hAnsi="Times New Roman"/>
          <w:b/>
          <w:bCs/>
          <w:caps w:val="false"/>
          <w:sz w:val="24"/>
          <w:szCs w:val="24"/>
        </w:rPr>
        <w:t xml:space="preserve">Figura 3 – Tricoscopia do couro cabeludo: rarefação e espaçamento interfolicular na região do topo</w:t>
      </w:r>
    </w:p>
    <w:p>
      <w:pPr>
        <w:spacing w:after="60" w:line="240"/>
        <w:jc w:val="center"/>
      </w:pPr>
      <w:r>
        <w:drawing>
          <wp:inline distT="0" distB="0" distL="0" distR="0">
            <wp:extent cx="3619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0"/>
          <w:szCs w:val="20"/>
        </w:rPr>
        <w:t xml:space="preserve">Fonte: arquivo da autora (2026).</w:t>
      </w:r>
    </w:p>
    <w:p>
      <w:pPr>
        <w:spacing w:after="0" w:line="240"/>
        <w:jc w:val="left"/>
      </w:pPr>
      <w:r>
        <w:rPr>
          <w:rFonts w:ascii="Times New Roman" w:cs="Times New Roman" w:eastAsia="Times New Roman" w:hAnsi="Times New Roman"/>
          <w:b/>
          <w:bCs/>
          <w:caps w:val="false"/>
          <w:sz w:val="24"/>
          <w:szCs w:val="24"/>
        </w:rPr>
        <w:t xml:space="preserve">Figura 4 – Registro fotográfico de referência inicial da região do topo</w:t>
      </w:r>
    </w:p>
    <w:p>
      <w:pPr>
        <w:spacing w:after="60" w:line="240"/>
        <w:jc w:val="center"/>
      </w:pPr>
      <w:r>
        <w:drawing>
          <wp:inline distT="0" distB="0" distL="0" distR="0">
            <wp:extent cx="1905000" cy="3667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0"/>
          <w:szCs w:val="20"/>
        </w:rPr>
        <w:t xml:space="preserve">Fonte: arquivo da autora (2026).</w:t>
      </w:r>
    </w:p>
    <w:p>
      <w:pPr>
        <w:pStyle w:val="Heading2"/>
        <w:spacing w:after="120" w:before="240" w:line="2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3.4 Diagnóstico estético-funcional</w:t>
      </w:r>
    </w:p>
    <w:p>
      <w:pPr>
        <w:spacing w:after="0" w:line="24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À avaliação inicial, o couro cabeludo apresentava sinais inflamatórios, com hiperemia e oleosidade aumentada. Observaram-se rarefação na região do topo/vértice, miniaturização folicular, aumento do espaçamento interfolicular, afinamento progressivo e diversidade de calibre dos fios — padrão compatível com alopecia androgenética feminina. O diagnóstico estético-funcional fundamentou-se, portanto, na queixa relatada, no histórico familiar de calvície, nos achados tricoscópicos e na correlação com as condições gastrointestinal e hormonal documentadas.</w:t>
      </w:r>
    </w:p>
    <w:p>
      <w:pPr>
        <w:pStyle w:val="Heading2"/>
        <w:spacing w:after="120" w:before="240" w:line="2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3.5 Protocolo terapêutico</w:t>
      </w:r>
    </w:p>
    <w:p>
      <w:pPr>
        <w:spacing w:after="0" w:line="24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4"/>
          <w:szCs w:val="24"/>
        </w:rPr>
        <w:t xml:space="preserve">Antecedente terapêutico.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Em 2023, a paciente realizou, por conta da alopecia androgenética, um tratamento prévio de desinflamação do couro cabeludo, que não integra o protocolo aqui descrito e não foi conduzido pela autora. Alguns meses após esse tratamento, a paciente notou piora do quadro. A investigação identificou infecção por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aps w:val="false"/>
          <w:sz w:val="24"/>
          <w:szCs w:val="24"/>
        </w:rPr>
        <w:t xml:space="preserve">Helicobacter pylori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 e gastrite; a infecção foi tratada com antibioticoterapia, com cura, e a gastrite permaneceu. Diante da piora e da miniaturização folicular mais acelerada, em 2024 optou-se por uma estimulação mais intensa da região, por meio de recursos mais invasivos, com a intradermoterapia capilar associada à fotobiomodulação, objeto deste estudo.</w:t>
      </w:r>
    </w:p>
    <w:p>
      <w:pPr>
        <w:spacing w:after="0" w:line="24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O protocolo aplicado pela autora consistiu em uma única etapa de estímulo, que associou intradermoterapia capilar pela técnica de pápula, fotobiomodulação com luz vermelha e manutenção domiciliar.</w:t>
      </w:r>
    </w:p>
    <w:p>
      <w:pPr>
        <w:spacing w:after="0" w:line="24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Na intradermoterapia, aplicou-se a Mescla PHD — Minoxidil 8 mg, Nanofatores de Crescimento Capilar 1%, Latanoprosta 50 mcg, Pill Food (L-metionina, L-taurina, L-prolina, biotina, D-pantenol, vitaminas B2, B3 e B6 e L-carnitina) e Lidocaína 20 mg — por meio de microinjeções na junção dermoepidérmica, em profundidade de 2 a 4 mm, com agulha 30G, depositando cerca de 0,05 a 0,1 mL por ponto, em pápulas espaçadas a cada 2 cm por toda a área de rarefação. A fotobiomodulação foi realizada com sessões de aproximadamente 20 minutos, com os parâmetros conferidos no manual do equipamento utilizado e ajustados conforme a tolerância da paciente. Em domicílio, manteve-se o uso contínuo do tônico Capilia Longa.</w:t>
      </w:r>
    </w:p>
    <w:p>
      <w:pPr>
        <w:spacing w:line="240"/>
      </w:pPr>
    </w:p>
    <w:p>
      <w:pPr>
        <w:spacing w:after="0" w:line="240"/>
        <w:jc w:val="left"/>
      </w:pPr>
      <w:r>
        <w:rPr>
          <w:rFonts w:ascii="Times New Roman" w:cs="Times New Roman" w:eastAsia="Times New Roman" w:hAnsi="Times New Roman"/>
          <w:b/>
          <w:bCs/>
          <w:caps w:val="false"/>
          <w:sz w:val="24"/>
          <w:szCs w:val="24"/>
        </w:rPr>
        <w:t xml:space="preserve">Quadro 1 – Síntese do protocolo aplicado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shd w:color="D9E2F3" w:val="solid"/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pct" w:w="20%"/>
            <w:shd w:color="D9E2F3" w:val="solid"/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Período</w:t>
            </w:r>
          </w:p>
        </w:tc>
        <w:tc>
          <w:tcPr>
            <w:tcW w:type="pct" w:w="20%"/>
            <w:shd w:color="D9E2F3" w:val="solid"/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Recurso</w:t>
            </w:r>
          </w:p>
        </w:tc>
        <w:tc>
          <w:tcPr>
            <w:tcW w:type="pct" w:w="20%"/>
            <w:shd w:color="D9E2F3" w:val="solid"/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Frequência</w:t>
            </w:r>
          </w:p>
        </w:tc>
        <w:tc>
          <w:tcPr>
            <w:tcW w:type="pct" w:w="20%"/>
            <w:shd w:color="D9E2F3" w:val="solid"/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Como foi feito</w:t>
            </w:r>
          </w:p>
        </w:tc>
      </w:tr>
      <w:tr>
        <w:tc>
          <w:tcPr>
            <w:tcW w:type="pct" w:w="20%"/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pct" w:w="20%"/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Mês 1</w:t>
            </w:r>
          </w:p>
        </w:tc>
        <w:tc>
          <w:tcPr>
            <w:tcW w:type="pct" w:w="20%"/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Intradermoterapia (Mescla PHD)</w:t>
            </w:r>
          </w:p>
        </w:tc>
        <w:tc>
          <w:tcPr>
            <w:tcW w:type="pct" w:w="20%"/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vez por semana</w:t>
            </w:r>
          </w:p>
        </w:tc>
        <w:tc>
          <w:tcPr>
            <w:tcW w:type="pct" w:w="20%"/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técnica de pápula, agulha 30G, 2–4 mm, ~0,05–0,1 mL por ponto, pápulas a cada 2 cm</w:t>
            </w:r>
          </w:p>
        </w:tc>
      </w:tr>
      <w:tr>
        <w:tc>
          <w:tcPr>
            <w:tcW w:type="pct" w:w="20%"/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pct" w:w="20%"/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 partir do mês 2</w:t>
            </w:r>
          </w:p>
        </w:tc>
        <w:tc>
          <w:tcPr>
            <w:tcW w:type="pct" w:w="20%"/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Fotobiomodulação (laser vermelho 655–660 nm, ~2 J/cm², ~20 min)</w:t>
            </w:r>
          </w:p>
        </w:tc>
        <w:tc>
          <w:tcPr>
            <w:tcW w:type="pct" w:w="20%"/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sessão a cada 15 dias</w:t>
            </w:r>
          </w:p>
        </w:tc>
        <w:tc>
          <w:tcPr>
            <w:tcW w:type="pct" w:w="20%"/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intercalada com a intradermoterapia</w:t>
            </w:r>
          </w:p>
        </w:tc>
      </w:tr>
      <w:tr>
        <w:tc>
          <w:tcPr>
            <w:tcW w:type="pct" w:w="20%"/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pct" w:w="20%"/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 partir do mês 2</w:t>
            </w:r>
          </w:p>
        </w:tc>
        <w:tc>
          <w:tcPr>
            <w:tcW w:type="pct" w:w="20%"/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Intradermoterapia (mesma técnica)</w:t>
            </w:r>
          </w:p>
        </w:tc>
        <w:tc>
          <w:tcPr>
            <w:tcW w:type="pct" w:w="20%"/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sessão a cada 15 dias</w:t>
            </w:r>
          </w:p>
        </w:tc>
        <w:tc>
          <w:tcPr>
            <w:tcW w:type="pct" w:w="20%"/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intercalada com o laser</w:t>
            </w:r>
          </w:p>
        </w:tc>
      </w:tr>
      <w:tr>
        <w:tc>
          <w:tcPr>
            <w:tcW w:type="pct" w:w="20%"/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Contínuo</w:t>
            </w:r>
          </w:p>
        </w:tc>
        <w:tc>
          <w:tcPr>
            <w:tcW w:type="pct" w:w="20%"/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Todo o período</w:t>
            </w:r>
          </w:p>
        </w:tc>
        <w:tc>
          <w:tcPr>
            <w:tcW w:type="pct" w:w="20%"/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Tônico Capilia Longa</w:t>
            </w:r>
          </w:p>
        </w:tc>
        <w:tc>
          <w:tcPr>
            <w:tcW w:type="pct" w:w="20%"/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diário, em casa</w:t>
            </w:r>
          </w:p>
        </w:tc>
        <w:tc>
          <w:tcPr>
            <w:tcW w:type="pct" w:w="20%"/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cuidado domiciliar</w:t>
            </w:r>
          </w:p>
        </w:tc>
      </w:tr>
    </w:tbl>
    <w:p>
      <w:pPr>
        <w:spacing w:after="120" w:line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0"/>
          <w:szCs w:val="20"/>
        </w:rPr>
        <w:t xml:space="preserve">Fonte: dados da pesquisa (2026).</w:t>
      </w:r>
    </w:p>
    <w:p>
      <w:pPr>
        <w:spacing w:after="0" w:line="24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A série de sessões inicialmente prevista, tomada da literatura como referência de planejamento, foi estendida ao longo do acompanhamento em razão da resposta clínica mais lenta que a esperada, decisão fundamentada na reavaliação tricoscópica periódica e na individualização da conduta.</w:t>
      </w:r>
    </w:p>
    <w:p>
      <w:pPr>
        <w:pStyle w:val="Heading2"/>
        <w:spacing w:after="120" w:before="240" w:line="2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3.6 Aspectos éticos</w:t>
      </w:r>
    </w:p>
    <w:p>
      <w:pPr>
        <w:spacing w:after="0" w:line="24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Este trabalho seguiu os princípios éticos da pesquisa com seres humanos conforme a Resolução 466/12 do Conselho Nacional de Saúde, com aprovação prévia pelo Comitê de Ética em Pesquisa (CEP) da UNIPLAC sob o número de aprovação 6.603.39. A paciente modelo assinou o Termo de Consentimento Livre e Esclarecido (TCLE), autorizando a realização dos procedimentos, o registro fotográfico e a divulgação acadêmica das imagens e dos exames apresentados nos anexos, preservada sua identificação.</w:t>
      </w:r>
    </w:p>
    <w:p>
      <w:pPr>
        <w:pStyle w:val="Heading1"/>
        <w:spacing w:after="120" w:before="240" w:line="2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AGRADECIMENTOS</w:t>
      </w:r>
    </w:p>
    <w:p>
      <w:pPr>
        <w:spacing w:after="0" w:line="24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Agradece-se à paciente modelo, pela confiança e pela disponibilidade ao longo de todo o acompanhamento, às professoras orientadoras, pela condução criteriosa do trabalho, e ao corpo docente do curso de Tecnologia em Estética e Cosmetologia da UNIPLAC, pelo suporte técnico e científico.</w:t>
      </w:r>
    </w:p>
    <w:p>
      <w:r>
        <w:br w:type="page"/>
      </w:r>
    </w:p>
    <w:p>
      <w:pPr>
        <w:pStyle w:val="Heading1"/>
        <w:spacing w:after="120" w:before="240" w:line="2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REFERÊNCIAS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ALEDANI, E. M. et al. Mesotherapy as a promising alternative to minoxidil for androgenetic alopecia: a systematic review. Cureus, v. 16, n. 5, e59705, 2024. Disponível em: https://pmc.ncbi.nlm.nih.gov/articles/PMC11152360/. Acesso em: 28 jul.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ANASTASSAKIS, K. Androgenetic alopecia from A to Z: vol. 1 – basic science, diagnosis, etiology, and related disorders. Cham: Springer, 2022. Disponível em: https://link.springer.com/book/10.1007/978-3-030-76111-0. Acesso em: 28 jul.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AVCI, P. et al. Low-level laser (light) therapy (LLLT) for treatment of hair loss. Lasers in Surgery and Medicine, v. 46, n. 2, p. 144-151, 2014. Disponível em: https://pmc.ncbi.nlm.nih.gov/articles/PMC3944668/. Acesso em: 28 jul.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BLUME-PEYTAVI, U.; TOSTI, A.; WHITING, D. A.; TRÜEB, R. M. (org.). Hair growth and disorders. Berlin: Springer, 2008.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CHANDRASHEKAR, B. S. (org.). IADVL textbook of trichology. New Delhi: JP Medical, 2018.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DOES Helicobacter pylori infection play a role in iron deficiency anemia? A meta-analysis. World Journal of Gastroenterology, 2010. Disponível em: https://www.ncbi.nlm.nih.gov/pmc/articles/PMC2825337/. Acesso em: 28 jul.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GALLIKER, N. A.; TRÜEB, R. M. Value of trichoscopy versus trichogram for diagnosis of female androgenetic alopecia. International Journal of Trichology, v. 4, n. 1, p. 19-22, 2012. Disponível em: https://pubmed.ncbi.nlm.nih.gov/22628985/. Acesso em: 28 jul.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GUO, E. L.; KATTA, R. Diet and hair loss: effects of nutrient deficiency and supplement use. Dermatology Practical &amp; Conceptual, v. 7, n. 1, p. 1-10, 2017. Disponível em: https://www.ncbi.nlm.nih.gov/pmc/articles/PMC5315033/. Acesso em: 28 jul.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HO, C. H.; SOOD, T.; ZITO, P. M. Androgenetic alopecia. In: StatPearls. Treasure Island (FL): StatPearls Publishing, 2024. Disponível em: https://www.ncbi.nlm.nih.gov/books/NBK430924/. Acesso em: 28 jul.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IRON deficiency and nonscarring alopecia in women: systematic review and meta-analysis. 2022. Disponível em: https://pmc.ncbi.nlm.nih.gov/articles/PMC8928181/. Acesso em: 28 jul.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KAISER, M. A. et al. Low-level light therapy and minoxidil combination treatment in androgenetic alopecia: a review of the literature. Skin Appendage Disorders, v. 9, n. 2, p. 104-110, 2022. Disponível em: https://pmc.ncbi.nlm.nih.gov/articles/PMC10015651/. Acesso em: 28 jul.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KANTOR, J. et al. Decreased serum ferritin is associated with alopecia in women. Journal of Investigative Dermatology, v. 121, n. 5, p. 985-988, 2003. Disponível em: https://pubmed.ncbi.nlm.nih.gov/14708596/. Acesso em: 28 jul.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KUCZARA, K. et al. Trichoscopy of androgenetic alopecia: a systematic review. Journal of Clinical Medicine, v. 13, n. 7, 1962, 2024. Disponível em: https://pmc.ncbi.nlm.nih.gov/articles/PMC11012765/. Acesso em: 28 jul.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MARTINEZ-JACOBO, L. et al. Genetic and molecular aspects of androgenetic alopecia. Indian Journal of Dermatology, Venereology and Leprology, v. 84, n. 3, p. 263-268, 2018. Disponível em: https://ijdvl.com/genetic-and-molecular-aspects-of-androgenetic-alopecia/. Acesso em: 28 jul.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MICHELLE, V.; SHILPA, K.; LEELAVATHY, B. A clinico-trichoscopic analysis of hair density and diameter variability in relation to severity grading of female pattern hair loss. International Journal of Trichology, v. 14, n. 5, p. 162-171, 2022. Disponível em: https://pubmed.ncbi.nlm.nih.gov/36404884/. Acesso em: 28 jul.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NTSHINGILA, S. et al. Androgenetic alopecia: an update. JAAD International, v. 13, p. 150-158, 2023. Disponível em: https://pmc.ncbi.nlm.nih.gov/articles/PMC10562178/. Acesso em: 28 jul.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OLSEN, E. A. (org.). Disorders of hair growth: diagnosis and treatment. New York: McGraw-Hill, 1994.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PILLAI, J. K.; MYSORE, V. Role of low-level light therapy (LLLT) in androgenetic alopecia. Journal of Cutaneous and Aesthetic Surgery, v. 14, n. 4, p. 385-391, 2022. Disponível em: https://jcasonline.com/role-of-low-level-light-therapy-lllt-in-androgenetic-alopecia/. Acesso em: 28 jul.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PRIE, B. E. et al. Oxidative stress in androgenetic alopecia. Journal of Medicine and Life, v. 9, n. 1, p. 79-83, 2016. Disponível em: https://pubmed.ncbi.nlm.nih.gov/27974920/. Acesso em: 28 jul.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SINGAL, A.; SONTHALIA, S.; VERMA, P. Female pattern hair loss. Indian Journal of Dermatology, Venereology and Leprology, v. 79, n. 5, p. 626-640, 2013. Disponível em: https://ijdvl.com/female-pattern-hair-loss/. Acesso em: 28 jul.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SONDAGAR, D. M. et al. Efficacy of low-level laser therapy in androgenetic alopecia: a randomized controlled trial. International Journal of Trichology, 2023. Disponível em: https://pubmed.ncbi.nlm.nih.gov/37305186/. Acesso em: 28 jul.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STEFANIS, A. J. et al. Efficacy of platelet-rich plasma versus mesotherapy with recombinant growth factors and stem cell-conditioned media in androgenetic alopecia: a retrospective study. Skin Appendage Disorders, v. 10, n. 5, p. 376-382, 2024. Disponível em: https://karger.com/sad/article/10/5/376/908183/Efficacy-of-Platelet-Rich-Plasma-versus. Acesso em: 28 jul.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SYSTEMATIC review of mesotherapy: a novel avenue for the treatment of hair loss. Journal of Dermatological Treatment, 2023. Disponível em: https://www.tandfonline.com/doi/full/10.1080/09546634.2023.2245084. Acesso em: 28 jul.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USTUNER, E. T. Cause of androgenic alopecia: crux of the matter. Plastic and Reconstructive Surgery – Global Open, v. 1, n. 7, e64, 2013. Disponível em: https://pmc.ncbi.nlm.nih.gov/articles/PMC4174066/. Acesso em: 28 jul.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UZEL, B. P. K. et al. Intradermal injections with 0.5% minoxidil for the treatment of female androgenetic alopecia: a randomized, placebo-controlled trial. Dermatologic Therapy, v. 34, n. 1, 2021. Disponível em: https://doi.org/10.1111/dth.14622. Acesso em: 28 jul.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WANG, Y.-F.; CHEN, Y.-C. Clinical trial comparing three wavelengths in photobiomodulation therapy for hair loss. Photobiomodulation, Photomedicine, and Laser Surgery, v. 43, n. 7, p. 288-293, 2025. Disponível em: https://pubmed.ncbi.nlm.nih.gov/40398915/. Acesso em: 28 jul.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YOON, J. S. et al. Low-level light therapy using a helmet-type device for the treatment of androgenetic alopecia: a 16-week, multicenter, randomized, double-blind, sham device-controlled trial. Medicine (Baltimore), v. 99, n. 29, e21181, 2020. Disponível em: https://pmc.ncbi.nlm.nih.gov/articles/PMC7373546/. Acesso em: 28 jul. 2026.</w:t>
      </w:r>
    </w:p>
    <w:p>
      <w:r>
        <w:br w:type="page"/>
      </w:r>
    </w:p>
    <w:p>
      <w:pPr>
        <w:pStyle w:val="Heading1"/>
        <w:spacing w:after="120" w:before="240" w:line="2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ANEXOS</w:t>
      </w:r>
    </w:p>
    <w:p>
      <w:pPr>
        <w:spacing w:after="0" w:line="24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Os documentos a seguir são apresentados mediante autorização expressa da paciente no Termo de Consentimento Livre e Esclarecido. Os exames comprovam a realização do acompanhamento médico e a erradicação da infecção, não constituindo objeto de análise laboratorial neste estudo.</w:t>
      </w:r>
    </w:p>
    <w:p>
      <w:pPr>
        <w:spacing w:line="24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Anexo A – Exame anatomopatológico (2025), primeira via</w:t>
      </w:r>
    </w:p>
    <w:p>
      <w:pPr>
        <w:spacing w:after="60" w:line="240"/>
        <w:jc w:val="center"/>
      </w:pPr>
      <w:r>
        <w:drawing>
          <wp:inline distT="0" distB="0" distL="0" distR="0">
            <wp:extent cx="27432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0"/>
          <w:szCs w:val="20"/>
        </w:rPr>
        <w:t xml:space="preserve">Fonte: arquivo da paciente.</w:t>
      </w: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Anexo B – Exame anatomopatológico (2025), segunda via</w:t>
      </w:r>
    </w:p>
    <w:p>
      <w:pPr>
        <w:spacing w:after="60" w:line="240"/>
        <w:jc w:val="center"/>
      </w:pPr>
      <w:r>
        <w:drawing>
          <wp:inline distT="0" distB="0" distL="0" distR="0">
            <wp:extent cx="268605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0"/>
          <w:szCs w:val="20"/>
        </w:rPr>
        <w:t xml:space="preserve">Fonte: arquivo da paciente.</w:t>
      </w: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Anexo C – Descrição do exame endoscópico (2025)</w:t>
      </w:r>
    </w:p>
    <w:p>
      <w:pPr>
        <w:spacing w:after="60" w:line="240"/>
        <w:jc w:val="center"/>
      </w:pPr>
      <w:r>
        <w:drawing>
          <wp:inline distT="0" distB="0" distL="0" distR="0">
            <wp:extent cx="27813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0"/>
          <w:szCs w:val="20"/>
        </w:rPr>
        <w:t xml:space="preserve">Fonte: arquivo da paciente.</w:t>
      </w: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Anexo D – Registro de imagem do exame (2025), prancha 1</w:t>
      </w:r>
    </w:p>
    <w:p>
      <w:pPr>
        <w:spacing w:after="60" w:line="240"/>
        <w:jc w:val="center"/>
      </w:pPr>
      <w:r>
        <w:drawing>
          <wp:inline distT="0" distB="0" distL="0" distR="0">
            <wp:extent cx="2695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0"/>
          <w:szCs w:val="20"/>
        </w:rPr>
        <w:t xml:space="preserve">Fonte: arquivo da paciente.</w:t>
      </w: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Anexo E – Registro de imagem do exame (2025), prancha 2</w:t>
      </w:r>
    </w:p>
    <w:p>
      <w:pPr>
        <w:spacing w:after="60" w:line="240"/>
        <w:jc w:val="center"/>
      </w:pPr>
      <w:r>
        <w:drawing>
          <wp:inline distT="0" distB="0" distL="0" distR="0">
            <wp:extent cx="25527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0"/>
          <w:szCs w:val="20"/>
        </w:rPr>
        <w:t xml:space="preserve">Fonte: arquivo da paciente.</w:t>
      </w: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Anexo F – Descrição do exame de controle (2026), com confirmação da erradicação</w:t>
      </w:r>
    </w:p>
    <w:p>
      <w:pPr>
        <w:spacing w:after="60" w:line="240"/>
        <w:jc w:val="center"/>
      </w:pPr>
      <w:r>
        <w:drawing>
          <wp:inline distT="0" distB="0" distL="0" distR="0">
            <wp:extent cx="287655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0"/>
          <w:szCs w:val="20"/>
        </w:rPr>
        <w:t xml:space="preserve">Fonte: arquivo da paciente.</w:t>
      </w: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Anexo G – Registro de imagem do exame de controle (2026)</w:t>
      </w:r>
    </w:p>
    <w:p>
      <w:pPr>
        <w:spacing w:after="60" w:line="240"/>
        <w:jc w:val="center"/>
      </w:pPr>
      <w:r>
        <w:drawing>
          <wp:inline distT="0" distB="0" distL="0" distR="0">
            <wp:extent cx="252412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0"/>
          <w:szCs w:val="20"/>
        </w:rPr>
        <w:t xml:space="preserve">Fonte: arquivo da paciente.</w:t>
      </w: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Anexo H – Ficha de anamnese capilar</w:t>
      </w:r>
    </w:p>
    <w:p>
      <w:pPr>
        <w:spacing w:after="0" w:line="24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Documento pendente de digitalização e inclusão pela autora.</w:t>
      </w:r>
    </w:p>
    <w:sectPr>
      <w:headerReference w:type="default" r:id="rId7"/>
      <w:pgSz w:w="11906" w:h="16838" w:orient="portrait"/>
      <w:pgMar w:top="1700" w:right="1133" w:bottom="1133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line="240"/>
        <w:ind w:left="283" w:hanging="283"/>
        <w:jc w:val="both"/>
      </w:pPr>
      <w:r>
        <w:rPr>
          <w:rStyle w:val="FootnoteReference"/>
        </w:rPr>
        <w:footnoteRef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Paola Bortoli Pinheiro Lopes. Graduanda do curso de Tecnologia em Estética e Cosmetologia pela Universidade do Planalto Catarinense — UNIPLAC. E-mail: paolabortolilionn@gmail.com.</w:t>
      </w:r>
    </w:p>
  </w:footnote>
  <w:footnote w:id="2">
    <w:p>
      <w:pPr>
        <w:spacing w:line="240"/>
        <w:ind w:left="283" w:hanging="283"/>
        <w:jc w:val="both"/>
      </w:pPr>
      <w:r>
        <w:rPr>
          <w:rStyle w:val="FootnoteReference"/>
        </w:rPr>
        <w:footnoteRef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Marcia de Liz. Orientadora. Tecnóloga em Cosmetologia e Estética Facial e Corporal pela Universidade do Planalto Catarinense — UNIPLAC. Especialista em Estética e Imagem Corporal e MBA em Tricologia. Coordenadora do Curso de Tecnologia em Estética e Cosmetologia da UNIPLAC. Tricologista. Lattes: http://lattes.cnpq.br/5077931888781194.</w:t>
      </w:r>
    </w:p>
  </w:footnote>
  <w:footnote w:id="3">
    <w:p>
      <w:pPr>
        <w:spacing w:line="240"/>
        <w:ind w:left="283" w:hanging="283"/>
        <w:jc w:val="both"/>
      </w:pPr>
      <w:r>
        <w:rPr>
          <w:rStyle w:val="FootnoteReference"/>
        </w:rPr>
        <w:footnoteRef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Mariana Macedo Justi. Orientadora. Biomédica e Cosmetóloga Esteta pela Universidade do Planalto Catarinense — UNIPLAC. Especialista em Biomedicina Estética e em Ozonioterapia na Estética. Docente do curso de Tecnologia em Estética e Cosmetologia da UNIPLAC. Lattes: http://lattes.cnpq.br/5883666144835290.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line="240"/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94da9f2265bbf1675cdd0fc520d1031c9d5f9464.png"/><Relationship Id="rId9" Type="http://schemas.openxmlformats.org/officeDocument/2006/relationships/image" Target="media/cfdd4e773bc9da6d47d1eb0d678a3658d00449c1.png"/><Relationship Id="rId10" Type="http://schemas.openxmlformats.org/officeDocument/2006/relationships/image" Target="media/5892b11283d76d88b4feed988202b4f0f13d3f2a.png"/><Relationship Id="rId11" Type="http://schemas.openxmlformats.org/officeDocument/2006/relationships/image" Target="media/7ad390ca3416d5347664acecf49426b823511c96.jpg"/><Relationship Id="rId12" Type="http://schemas.openxmlformats.org/officeDocument/2006/relationships/image" Target="media/075de42a8bede60578e9408997292ebfb5e70db1.png"/><Relationship Id="rId13" Type="http://schemas.openxmlformats.org/officeDocument/2006/relationships/image" Target="media/d59b7090539923298e3e1068b8be445b40b39025.png"/><Relationship Id="rId14" Type="http://schemas.openxmlformats.org/officeDocument/2006/relationships/image" Target="media/eb2392ff62763654fd2f20c87c21bea9b67d420d.png"/><Relationship Id="rId15" Type="http://schemas.openxmlformats.org/officeDocument/2006/relationships/image" Target="media/5a3b9753282a4ec4e6a08df2155403c9ff7daae6.png"/><Relationship Id="rId16" Type="http://schemas.openxmlformats.org/officeDocument/2006/relationships/image" Target="media/83aa9f108788e0cf9ba719c4b772533e40cf25ee.png"/><Relationship Id="rId17" Type="http://schemas.openxmlformats.org/officeDocument/2006/relationships/image" Target="media/fb710b1be6e0dda21c4a9f5307fd495446eda22c.png"/><Relationship Id="rId18" Type="http://schemas.openxmlformats.org/officeDocument/2006/relationships/image" Target="media/d22fb01e0ce2067673d1b3b2298065101d767ce9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2026-10-14T01:01:13.410Z</dcterms:created>
  <dcterms:modified xsi:type="dcterms:W3CDTF">2026-10-14T01:01:13.419Z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