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B73"/>
        </w:rPr>
        <w:t>ROTEIRO DE ESTUDO PARA A APRESENTAÇÃO ORAL</w:t>
      </w:r>
    </w:p>
    <w:p>
      <w:pPr>
        <w:jc w:val="left"/>
      </w:pPr>
      <w:r>
        <w:rPr>
          <w:i/>
        </w:rPr>
        <w:t>ALOPECIA ANDROGENÉTICA FEMININA E SAÚDE GASTROINTESTINAL: ESTUDO DE CASO DE UM PROTOCOLO ESTÉTICO COM FOTOBIOMODULAÇÃO, INTRADERMOTERAPIA CAPILAR E CUIDADO DOMICILIAR</w:t>
        <w:br/>
        <w:t>Acadêmica: Paola Bortoli Pinheiro Lopes — Tecnologia em Estética e Cosmetologia — UNIPLAC</w:t>
      </w:r>
    </w:p>
    <w:p>
      <w:r>
        <w:rPr>
          <w:b/>
        </w:rPr>
        <w:t>Como usar este material:</w:t>
      </w:r>
      <w:r>
        <w:t xml:space="preserve"> este roteiro NÃO é para decorar. Ele é um guia. Leia cada bloco, entenda a ideia central e depois treine falando com as suas próprias palavras. Se você conseguir explicar cada slide sem olhar o roteiro, você está pronta.</w:t>
      </w:r>
    </w:p>
    <w:p>
      <w:pPr>
        <w:pStyle w:val="Heading1"/>
      </w:pPr>
      <w:r>
        <w:rPr>
          <w:color w:val="1F3B73"/>
        </w:rPr>
        <w:t>1. Resumo executivo — o "elevator pitch" do trabalho</w:t>
      </w:r>
    </w:p>
    <w:p>
      <w:r>
        <w:t xml:space="preserve">Este é um artigo científico no formato de </w:t>
      </w:r>
      <w:r>
        <w:rPr>
          <w:b/>
        </w:rPr>
        <w:t>estudo de caso descritivo e qualitativo</w:t>
      </w:r>
      <w:r>
        <w:t xml:space="preserve">, com uma única paciente. Ela nasceu em 1964 — tinha 60 anos no início do acompanhamento e 61 na reavaliação mais recente — e procurou atendimento por queda e rarefação progressiva no topo da cabeça (vértice), com cerca de três anos de evolução. O diagnóstico estético-funcional foi de </w:t>
      </w:r>
      <w:r>
        <w:rPr>
          <w:b/>
        </w:rPr>
        <w:t>alopecia androgenética feminina (AAF)</w:t>
      </w:r>
      <w:r>
        <w:t xml:space="preserve">, sustentado por anamnese, tricoscopia e registro fotográfico padronizado. Ela tem histórico familiar de calvície (pai), gastrite crônica em tratamento, infecção por </w:t>
      </w:r>
      <w:r>
        <w:rPr>
          <w:b/>
        </w:rPr>
        <w:t>Helicobacter pylori já erradicada e comprovada por exames</w:t>
      </w:r>
      <w:r>
        <w:t>, alterações hormonais, histórico de química capilar, estresse elevado, sono fragmentado e uso contínuo de medicação cardiovascular.</w:t>
      </w:r>
    </w:p>
    <w:p>
      <w:r>
        <w:t xml:space="preserve">O protocolo foi aplicado </w:t>
      </w:r>
      <w:r>
        <w:rPr>
          <w:b/>
        </w:rPr>
        <w:t>em duas fases e sempre em paralelo ao acompanhamento médico</w:t>
      </w:r>
      <w:r>
        <w:t>. A Fase 1 foi de desinflamação: aromaterapia, argiloterapia e fotobiomodulação com luz azul, duas vezes por semana, para controlar inflamação e oleosidade — porque só um couro cabeludo equilibrado responde bem ao estímulo. A Fase 2 foi de estímulo: intradermoterapia capilar com a Mescla PHD pela técnica de pápula, quinzenal, e fotobiomodulação com luz vermelha (650–660 nm, cerca de 20 minutos), duas a três vezes por semana. Em casa, uso diário contínuo do tônico Capilia Longa mais orientações de higienização, alimentação, sono e manejo do estresse. Reavaliação bimestral por tricoscopia e foto.</w:t>
      </w:r>
    </w:p>
    <w:p>
      <w:r>
        <w:t xml:space="preserve">O que se observou até agora: </w:t>
      </w:r>
      <w:r>
        <w:rPr>
          <w:b/>
        </w:rPr>
        <w:t>a evolução não foi linear</w:t>
      </w:r>
      <w:r>
        <w:t xml:space="preserve">. A Fase 1 controlou bem a inflamação e a oleosidade. Na entrada da Fase 2 a resposta ficou abaixo do esperado e a paciente percebeu aumento transitório da queda; a reanamnese mostrou higienização insuficiente, com acúmulo de sebo sobre os óstios foliculares, e uso irregular do tônico em casa. Houve </w:t>
      </w:r>
      <w:r>
        <w:rPr>
          <w:b/>
        </w:rPr>
        <w:t>correção de conduta</w:t>
      </w:r>
      <w:r>
        <w:t xml:space="preserve"> — reforço de orientação, revisão dos produtos, retomada sistemática do tônico e checagem da adesão a cada sessão — e a série de sessões foi estendida. Depois disso, observou-se melhora do couro cabeludo, aumento da microcirculação e surgimento de novos fios nos espaçamentos das áreas antes rarefeitas. A conclusão honesta: </w:t>
      </w:r>
      <w:r>
        <w:rPr>
          <w:b/>
        </w:rPr>
        <w:t>a adesão domiciliar foi o fator mais determinante da resposta</w:t>
      </w:r>
      <w:r>
        <w:t xml:space="preserve">, e a condição gastrointestinal é tratada como </w:t>
      </w:r>
      <w:r>
        <w:rPr>
          <w:b/>
        </w:rPr>
        <w:t>fator associado, nunca como causa</w:t>
      </w:r>
      <w:r>
        <w:t xml:space="preserve"> da alopecia androgenética.</w:t>
      </w:r>
    </w:p>
    <w:p>
      <w:r>
        <w:rPr>
          <w:b/>
        </w:rPr>
        <w:t>Versão de 30 segundos (para decorar de verdade):</w:t>
      </w:r>
      <w:r>
        <w:t xml:space="preserve"> "É um estudo de caso de alopecia androgenética feminina numa paciente de 61 anos com histórico de gastrite e H. pylori já erradicada. Apliquei um protocolo estético em duas fases — primeiro desinflamar, depois estimular — com fotobiomodulação, intradermoterapia e cuidado domiciliar, em paralelo ao médico. Houve melhora do couro cabeludo e fios novos, mas só depois de corrigir a adesão da paciente em casa, que foi o fator mais decisivo. A questão gastrointestinal entra como fator associado, por má absorção de nutrientes, e não como causa."</w:t>
      </w:r>
    </w:p>
    <w:p>
      <w:r>
        <w:br w:type="page"/>
      </w:r>
    </w:p>
    <w:p>
      <w:pPr>
        <w:pStyle w:val="Heading1"/>
      </w:pPr>
      <w:r>
        <w:rPr>
          <w:color w:val="1F3B73"/>
        </w:rPr>
        <w:t>2. Roteiro slide a slide (apresentação do seminário — 21 slides)</w:t>
      </w:r>
    </w:p>
    <w:p>
      <w:r>
        <w:t xml:space="preserve">Para cada slide: a ideia central que você precisa comunicar. </w:t>
      </w:r>
      <w:r>
        <w:rPr>
          <w:b/>
        </w:rPr>
        <w:t>Fale com as suas palavras. Não leia o slide.</w:t>
      </w:r>
      <w:r>
        <w:t xml:space="preserve"> O slide é apoio visual para a plateia; a explicação é você.</w:t>
      </w:r>
    </w:p>
    <w:p>
      <w:pPr>
        <w:spacing w:before="200"/>
      </w:pPr>
      <w:r>
        <w:rPr>
          <w:b/>
          <w:color w:val="1F3B73"/>
        </w:rPr>
        <w:t>Slide 1 — Capa</w:t>
      </w:r>
    </w:p>
    <w:p>
      <w:r>
        <w:t>Apresente-se com calma: nome, curso, e diga o título do trabalho em linguagem simples. Em uma frase, anuncie o que a plateia vai ver: um estudo de caso de alopecia androgenética feminina numa paciente com histórico de gastrite e H. pylori já erradicada, acompanhada com um protocolo estético. Não corra aqui — é o momento em que a banca calibra o seu ritmo.</w:t>
      </w:r>
    </w:p>
    <w:p>
      <w:r>
        <w:rPr>
          <w:i/>
        </w:rPr>
        <w:t>Lembrete: Cite as orientadoras pelo nome já na abertura.</w:t>
      </w:r>
    </w:p>
    <w:p>
      <w:pPr>
        <w:spacing w:before="200"/>
      </w:pPr>
      <w:r>
        <w:rPr>
          <w:b/>
          <w:color w:val="1F3B73"/>
        </w:rPr>
        <w:t>Slide 2 — Resumo do trabalho</w:t>
      </w:r>
    </w:p>
    <w:p>
      <w:r>
        <w:t>Dê o mapa antes do território. Diga que é um estudo de caso descritivo e qualitativo, com uma paciente só; apresente a paciente em uma frase; diga os três recursos (fotobiomodulação, intradermoterapia e cuidado domiciliar) e antecipe o desfecho: houve melhora e fios novos, precedidos de uma fase inicial em que o resultado ficou aquém por baixa adesão. Antecipar a parte que não deu certo mostra segurança, não fragilidade.</w:t>
      </w:r>
    </w:p>
    <w:p>
      <w:pPr>
        <w:spacing w:before="200"/>
      </w:pPr>
      <w:r>
        <w:rPr>
          <w:b/>
          <w:color w:val="1F3B73"/>
        </w:rPr>
        <w:t>Slide 3 — Como está organizado o artigo</w:t>
      </w:r>
    </w:p>
    <w:p>
      <w:r>
        <w:t>Slide curto, fala curta. Diga só que a apresentação segue a estrutura do artigo: introdução, desenvolvimento, método, discussão e considerações finais. Não leia os cinco itens um a um — resuma e siga.</w:t>
      </w:r>
    </w:p>
    <w:p>
      <w:r>
        <w:rPr>
          <w:i/>
        </w:rPr>
        <w:t>Lembrete: Máximo 20 segundos.</w:t>
      </w:r>
    </w:p>
    <w:p>
      <w:pPr>
        <w:spacing w:before="200"/>
      </w:pPr>
      <w:r>
        <w:rPr>
          <w:b/>
          <w:color w:val="1F3B73"/>
        </w:rPr>
        <w:t>Slide 4 — Introdução — a AAF</w:t>
      </w:r>
    </w:p>
    <w:p>
      <w:r>
        <w:t>Explique o que é a alopecia androgenética: a queda capilar mais comum e progressiva, causada pela ação da DHT em folículos geneticamente predispostos. Destaque o padrão feminino: rarefação difusa do topo, preservando a linha frontal. Use o dado de prevalência (de ~1,3% entre 18 e 29 anos para ~11,8% após os 70) para mostrar por que o caso de uma paciente nessa faixa etária é relevante. Termine com o objetivo do artigo.</w:t>
      </w:r>
    </w:p>
    <w:p>
      <w:pPr>
        <w:spacing w:before="200"/>
      </w:pPr>
      <w:r>
        <w:rPr>
          <w:b/>
          <w:color w:val="1F3B73"/>
        </w:rPr>
        <w:t>Slide 5 — Fisiopatologia — DHT e genética</w:t>
      </w:r>
    </w:p>
    <w:p>
      <w:r>
        <w:t>Conte o mecanismo como uma história: a enzima 5-alfa-redutase transforma testosterona em DHT; a DHT encurta a fase anágena e miniaturiza o folículo, trocando fio terminal por velo; a relação anágeno/telógeno, que normalmente é de cerca de 12 para 1, cai. Feche conectando com o caso: herdabilidade estimada em 0,81 e o pai da paciente é calvo.</w:t>
      </w:r>
    </w:p>
    <w:p>
      <w:r>
        <w:rPr>
          <w:i/>
        </w:rPr>
        <w:t>Lembrete: Esse é o slide técnico — fale devagar e explique 'miniaturização' com palavras simples.</w:t>
      </w:r>
    </w:p>
    <w:p>
      <w:pPr>
        <w:spacing w:before="200"/>
      </w:pPr>
      <w:r>
        <w:rPr>
          <w:b/>
          <w:color w:val="1F3B73"/>
        </w:rPr>
        <w:t>Slide 6 — Quadro clínico e escala de Ludwig</w:t>
      </w:r>
    </w:p>
    <w:p>
      <w:r>
        <w:t>Mostre que existe classificação objetiva. Padrão feminino é afinamento da coroa com preservação da frente; a escala de Ludwig divide a gravidade em três estágios e serve para planejar o protocolo e comparar a evolução ao longo do tempo.</w:t>
      </w:r>
    </w:p>
    <w:p>
      <w:pPr>
        <w:spacing w:before="200"/>
      </w:pPr>
      <w:r>
        <w:rPr>
          <w:b/>
          <w:color w:val="1F3B73"/>
        </w:rPr>
        <w:t>Slide 7 — Fatores sistêmicos — absorção de micronutrientes</w:t>
      </w:r>
    </w:p>
    <w:p>
      <w:r>
        <w:t>Aqui entra a parte gastrointestinal, que é o diferencial do trabalho. Explique a cadeia: H. pylori e gastrite crônica reduzem a acidez gástrica; sem acidez, cai a absorção de ferro não heme e de vitamina B12; o próprio tratamento (inibidor de bomba de prótons, usado por tempo prolongado) faz o mesmo. E ferritina baixa está associada à alopecia feminina — média de 37,3 ng/mL nas pacientes contra 59,5 nos controles. O folículo é uma das estruturas de maior taxa mitótica do corpo, então depende desses nutrientes para manter a fase de crescimento.</w:t>
      </w:r>
    </w:p>
    <w:p>
      <w:r>
        <w:rPr>
          <w:i/>
        </w:rPr>
        <w:t>Lembrete: Este é o slide que constrói a ponte. Não atropele.</w:t>
      </w:r>
    </w:p>
    <w:p>
      <w:pPr>
        <w:spacing w:before="200"/>
      </w:pPr>
      <w:r>
        <w:rPr>
          <w:b/>
          <w:color w:val="1F3B73"/>
        </w:rPr>
        <w:t>Slide 8 — Delimitação científica: fator associado, nunca causa</w:t>
      </w:r>
    </w:p>
    <w:p>
      <w:r>
        <w:t>Este é o slide mais importante do ponto de vista metodológico e o que a banca mais pode cutucar. Diga com todas as letras: a evidência DIRETA que liga H. pylori à queda capilar é de alopecia AREATA, que é autoimune, e não da androgenética. Eu não afirmo causalidade. O que a literatura sustenta é uma ponte indireta e plausível, pela má absorção de micronutrientes. Por isso trato a condição gastrointestinal como fator coadjuvante e potencialmente acelerador. E isso tem uma consequência prática: como pode haver má absorção, faz sentido levar o ativo direto pela via intradérmica.</w:t>
      </w:r>
    </w:p>
    <w:p>
      <w:r>
        <w:rPr>
          <w:i/>
        </w:rPr>
        <w:t>Lembrete: Se você só tiver tempo para defender um slide, defenda este.</w:t>
      </w:r>
    </w:p>
    <w:p>
      <w:pPr>
        <w:spacing w:before="200"/>
      </w:pPr>
      <w:r>
        <w:rPr>
          <w:b/>
          <w:color w:val="1F3B73"/>
        </w:rPr>
        <w:t>Slide 9 — Ambiente folicular e progressão</w:t>
      </w:r>
    </w:p>
    <w:p>
      <w:r>
        <w:t>Explique que a AAF não é só hormonal: inflamação de baixo grau e microcirculação perifolicular comprometida também participam do ambiente que acelera a miniaturização. Deixe claro que se trata de elo de plausibilidade, não de relação determinística.</w:t>
      </w:r>
    </w:p>
    <w:p>
      <w:r>
        <w:rPr>
          <w:i/>
        </w:rPr>
        <w:t>Lembrete: Atenção: na versão da Mostra Científica o mecanismo de 'estresse oxidativo' foi retirado por não haver exame laboratorial que o comprove nesta paciente. Veja a pergunta 3 da seção 3.</w:t>
      </w:r>
    </w:p>
    <w:p>
      <w:pPr>
        <w:spacing w:before="200"/>
      </w:pPr>
      <w:r>
        <w:rPr>
          <w:b/>
          <w:color w:val="1F3B73"/>
        </w:rPr>
        <w:t>Slide 10 — Fotobiomodulação</w:t>
      </w:r>
    </w:p>
    <w:p>
      <w:r>
        <w:t>Justifique a escolha: é não invasiva, segura e tem eficácia demonstrada em ensaios randomizados. Mecanismo: aumenta a produção de ATP nas células foliculares, melhora a microcirculação e prolonga a fase anágena. Resultado de literatura: ganho de cerca de 41,9 fios/cm² sem efeitos adversos. Parâmetros: luz vermelha de 650 a 660 nm, 1 a 10 J/cm², 15 a 20 minutos. Explique a resposta bifásica — dose baixa estimula, dose alta inibe — e diga que por isso trabalhou com fluência baixa. A luz azul entrou antes, na Fase 1, para inflamação e oleosidade.</w:t>
      </w:r>
    </w:p>
    <w:p>
      <w:pPr>
        <w:spacing w:before="200"/>
      </w:pPr>
      <w:r>
        <w:rPr>
          <w:b/>
          <w:color w:val="1F3B73"/>
        </w:rPr>
        <w:t>Slide 11 — Intradermoterapia e cuidado domiciliar</w:t>
      </w:r>
    </w:p>
    <w:p>
      <w:r>
        <w:t>Conecte com o slide 8: a microinjeção leva o ativo direto ao folículo e contorna as barreiras de absorção gastrointestinal. Descreva a técnica de pápula: agulha 30G, 2 a 4 mm, cerca de 0,05 a 0,1 mL por ponto, pápulas a cada 2 cm. Cite a composição da Mescla PHD (minoxidil, nanofatores, latanoprosta, Pill Food e lidocaína). No home care, o tônico Capilia Longa, à base de cúrcuma, que auxilia na inibição da conversão de testosterona em DHT, além de higienização, alimentação, sono e manejo do estresse.</w:t>
      </w:r>
    </w:p>
    <w:p>
      <w:pPr>
        <w:spacing w:before="200"/>
      </w:pPr>
      <w:r>
        <w:rPr>
          <w:b/>
          <w:color w:val="1F3B73"/>
        </w:rPr>
        <w:t>Slide 12 — Método — desenho do estudo e a paciente</w:t>
      </w:r>
    </w:p>
    <w:p>
      <w:r>
        <w:t>Diga que é pesquisa qualitativa, estudo de caso descritivo, com uma única paciente, e que o referencial teórico veio de PubMed/PMC, SciELO, periódicos de dermatologia e tricologia e livros-texto. Depois apresente a paciente: nascida em 1964, queixa de rarefação no topo há cerca de três anos, calvície paterna, gastrite crônica em tratamento, H. pylori já erradicada e confirmada por exames (Anexos A a G), alterações hormonais, química capilar, estresse e sono fragmentado, e medicação contínua cuja bula descreve edema e retenção hídrica entre os efeitos possíveis.</w:t>
      </w:r>
    </w:p>
    <w:p>
      <w:pPr>
        <w:spacing w:before="200"/>
      </w:pPr>
      <w:r>
        <w:rPr>
          <w:b/>
          <w:color w:val="1F3B73"/>
        </w:rPr>
        <w:t>Slide 13 — Método — instrumentos e diagnóstico</w:t>
      </w:r>
    </w:p>
    <w:p>
      <w:r>
        <w:t>Explique como avaliou: anamnese capilar, tricoscopia com fotovideodermatoscópio e foto padronizada — mesma luz, mesmo enquadramento, mesma distância, o que é o que torna a comparação válida. Na avaliação inicial havia sinais inflamatórios, hiperemia e oleosidade aumentada. Nos achados tricoscópicos: rarefação no vértice, miniaturização, maior espaçamento interfolicular e diversidade de calibre (anisotricose), presente em cerca de 90% dos casos femininos e considerada o marcador mais confiável; a tricoscopia supera o tricograma (72% contra 62%).</w:t>
      </w:r>
    </w:p>
    <w:p>
      <w:pPr>
        <w:spacing w:before="200"/>
      </w:pPr>
      <w:r>
        <w:rPr>
          <w:b/>
          <w:color w:val="1F3B73"/>
        </w:rPr>
        <w:t>Slide 14 — Quadro 1 — síntese do protocolo</w:t>
      </w:r>
    </w:p>
    <w:p>
      <w:r>
        <w:t>Não leia a tabela linha por linha. Conte a lógica: primeiro desinflamar, depois estimular, porque só um couro cabeludo equilibrado responde ao estímulo. Diga a Fase 1 (aromaterapia, argiloterapia, luz azul, 2x/semana), a Fase 2 (intradermoterapia quinzenal e luz vermelha 2 a 3x/semana), o home care diário e a reavaliação bimestral. Termine dizendo que a série inicialmente prevista foi estendida por causa da resposta mais lenta que o esperado.</w:t>
      </w:r>
    </w:p>
    <w:p>
      <w:r>
        <w:rPr>
          <w:i/>
        </w:rPr>
        <w:t>Lembrete: Deixe a plateia ler a tabela enquanto você narra a lógica.</w:t>
      </w:r>
    </w:p>
    <w:p>
      <w:pPr>
        <w:spacing w:before="200"/>
      </w:pPr>
      <w:r>
        <w:rPr>
          <w:b/>
          <w:color w:val="1F3B73"/>
        </w:rPr>
        <w:t>Slide 15 — Aspectos éticos</w:t>
      </w:r>
    </w:p>
    <w:p>
      <w:r>
        <w:t>Fale com firmeza: Resolução 466/12 do Conselho Nacional de Saúde, aprovação prévia pelo Comitê de Ética em Pesquisa da UNIPLAC sob o número 6.603.39, e TCLE assinado pela paciente modelo autorizando os procedimentos, o registro fotográfico e a divulgação acadêmica das imagens e dos exames, com a identificação preservada.</w:t>
      </w:r>
    </w:p>
    <w:p>
      <w:r>
        <w:rPr>
          <w:i/>
        </w:rPr>
        <w:t>Lembrete: Decore o número do CEP: 6.603.39. É pergunta clássica de banca.</w:t>
      </w:r>
    </w:p>
    <w:p>
      <w:pPr>
        <w:spacing w:before="200"/>
      </w:pPr>
      <w:r>
        <w:rPr>
          <w:b/>
          <w:color w:val="1F3B73"/>
        </w:rPr>
        <w:t>Slide 16 — Discussão — o que foi bem</w:t>
      </w:r>
    </w:p>
    <w:p>
      <w:r>
        <w:t>Comece assumindo que a evolução não foi linear e que relatar isso com honestidade faz parte do resultado científico. Depois: a Fase 1 controlou inflamação e oleosidade; o couro cabeludo ficou equilibrado, que era a condição necessária para estimular; e, após a correção de conduta, houve aumento da microcirculação e surgimento de novos fios nos espaçamentos das áreas antes rarefeitas, acompanhado por tricoscopia e foto padronizada.</w:t>
      </w:r>
    </w:p>
    <w:p>
      <w:pPr>
        <w:spacing w:before="200"/>
      </w:pPr>
      <w:r>
        <w:rPr>
          <w:b/>
          <w:color w:val="1F3B73"/>
        </w:rPr>
        <w:t>Slide 17 — Discussão — o que não foi bem e como foi corrigido</w:t>
      </w:r>
    </w:p>
    <w:p>
      <w:r>
        <w:t>Conte a história de forma direta: na transição para a Fase 2 a tricoscopia não mostrou o ganho de densidade previsto e a paciente percebeu aumento transitório da queda. A reanamnese revelou o motivo: higienização insuficiente, com intervalos longos entre lavagens e acúmulo de sebo sobre os óstios foliculares, e uso irregular do tônico. A correção de conduta foi reforçar a orientação de frequência e técnica de higienização, revisar os produtos de casa, retomar o tônico de forma sistemática e passar a acompanhar a adesão a cada sessão. Depois do ajuste a resposta clínica mudou de forma perceptível, e a série foi estendida. Conclusão: a adesão domiciliar foi o determinante mais evidente da oscilação.</w:t>
      </w:r>
    </w:p>
    <w:p>
      <w:r>
        <w:rPr>
          <w:i/>
        </w:rPr>
        <w:t>Lembrete: Este slide é uma força do trabalho, não uma falha. Apresente com postura de quem conduziu bem o caso.</w:t>
      </w:r>
    </w:p>
    <w:p>
      <w:pPr>
        <w:spacing w:before="200"/>
      </w:pPr>
      <w:r>
        <w:rPr>
          <w:b/>
          <w:color w:val="1F3B73"/>
        </w:rPr>
        <w:t>Slide 18 — Discussão — o que o caso NÃO permite afirmar</w:t>
      </w:r>
    </w:p>
    <w:p>
      <w:r>
        <w:t>Mostre maturidade científica. Não dá para atribuir o resultado a um único recurso, porque o protocolo foi combinado. Caso único não permite inferência causal nem generalização. Existem fatores de confusão: a natureza multifatorial da AAF (genética, hormônios, idade, química capilar), a adesão, o sedentarismo, o estresse, o sono fragmentado e a medicação contínua. E sobre a H. pylori, reitere: coexistência e fator associado plausível, não relação de causa e efeito — a evidência direta é de alopecia areata, de mecanismo autoimune distinto.</w:t>
      </w:r>
    </w:p>
    <w:p>
      <w:pPr>
        <w:spacing w:before="200"/>
      </w:pPr>
      <w:r>
        <w:rPr>
          <w:b/>
          <w:color w:val="1F3B73"/>
        </w:rPr>
        <w:t>Slide 19 — Considerações finais</w:t>
      </w:r>
    </w:p>
    <w:p>
      <w:r>
        <w:t>Feche em três ideias. Uma: o protocolo em duas fases foi bem tolerado e acompanhou-se de melhora do couro cabeludo e de fios novos nas áreas rarefeitas. Duas: a adesão domiciliar foi o fator mais determinante, o que significa que educar e acompanhar a paciente são parte do protocolo, e não recomendações acessórias. Três: a saúde gastrointestinal é fator sistêmico associado, com plausibilidade mecanística, nunca causa isolada. Termine com as limitações (caso único, sem controle, recursos combinados, avaliação qualitativa) e a sugestão para estudos futuros: amostras maiores, dosagem seriada de ferritina, B12 e zinco e medida quantitativa de densidade.</w:t>
      </w:r>
    </w:p>
    <w:p>
      <w:r>
        <w:rPr>
          <w:i/>
        </w:rPr>
        <w:t>Lembrete: Este é o slide que a banca lembra. Ensaie-o mais do que os outros.</w:t>
      </w:r>
    </w:p>
    <w:p>
      <w:pPr>
        <w:spacing w:before="200"/>
      </w:pPr>
      <w:r>
        <w:rPr>
          <w:b/>
          <w:color w:val="1F3B73"/>
        </w:rPr>
        <w:t>Slide 20 — Referências principais</w:t>
      </w:r>
    </w:p>
    <w:p>
      <w:r>
        <w:t>Não leia as referências. Diga apenas que são as principais e que a lista completa, com links e datas de acesso, está no artigo entregue em Word e PDF.</w:t>
      </w:r>
    </w:p>
    <w:p>
      <w:r>
        <w:rPr>
          <w:i/>
        </w:rPr>
        <w:t>Lembrete: 10 segundos.</w:t>
      </w:r>
    </w:p>
    <w:p>
      <w:pPr>
        <w:spacing w:before="200"/>
      </w:pPr>
      <w:r>
        <w:rPr>
          <w:b/>
          <w:color w:val="1F3B73"/>
        </w:rPr>
        <w:t>Slide 21 — Anexos, créditos e agradecimentos</w:t>
      </w:r>
    </w:p>
    <w:p>
      <w:r>
        <w:t>Explique que os Anexos A a G trazem os exames anatomopatológicos e endoscópicos de 2025 e o exame de controle de 2026, que confirma a erradicação da infecção — todos apresentados mediante autorização expressa no TCLE, e que comprovam o acompanhamento médico sem serem objeto de análise laboratorial neste estudo. Cite as orientadoras com a titulação completa e agradeça à paciente modelo, às professoras e ao corpo docente.</w:t>
      </w:r>
    </w:p>
    <w:p>
      <w:r>
        <w:rPr>
          <w:i/>
        </w:rPr>
        <w:t>Lembrete: Se o Anexo H (ficha de anamnese) ainda não estiver digitalizado, veja a pergunta 4 da seção 3.</w:t>
      </w:r>
    </w:p>
    <w:p>
      <w:r>
        <w:rPr>
          <w:b/>
        </w:rPr>
        <w:t>Se você for cortada por falta de tempo:</w:t>
      </w:r>
      <w:r>
        <w:t xml:space="preserve"> vá direto para os slides 8, 14, 17 e 19. Eles contêm, juntos, a delimitação científica, o protocolo, a história real do caso e a conclusão.</w:t>
      </w:r>
    </w:p>
    <w:p>
      <w:pPr>
        <w:pStyle w:val="Heading2"/>
      </w:pPr>
      <w:r>
        <w:rPr>
          <w:color w:val="1F3B73"/>
        </w:rPr>
        <w:t>2.1 Adaptação para a Mostra Científica (10 slides)</w:t>
      </w:r>
    </w:p>
    <w:p>
      <w:r>
        <w:t>A apresentação da Mostra é uma versão enxuta da mesma história. O conteúdo é o mesmo, o ritmo é mais rápido. Use os blocos acima na seguinte compactação:</w:t>
      </w:r>
    </w:p>
    <w:p>
      <w:pPr>
        <w:pStyle w:val="ListBullet"/>
      </w:pPr>
      <w:r>
        <w:t>Abertura e resumo: slides 1 e 2 do roteiro.</w:t>
      </w:r>
    </w:p>
    <w:p>
      <w:pPr>
        <w:pStyle w:val="ListBullet"/>
      </w:pPr>
      <w:r>
        <w:t>Introdução e fisiopatologia: junte 4 e 5 em uma fala só.</w:t>
      </w:r>
    </w:p>
    <w:p>
      <w:pPr>
        <w:pStyle w:val="ListBullet"/>
      </w:pPr>
      <w:r>
        <w:t>Conexão gastrointestinal: slides 7 e 8 — mantenha os dois, é o diferencial do trabalho.</w:t>
      </w:r>
    </w:p>
    <w:p>
      <w:pPr>
        <w:pStyle w:val="ListBullet"/>
      </w:pPr>
      <w:r>
        <w:t>Metodologia, protocolo e linha do tempo: junte 12, 13 e 14.</w:t>
      </w:r>
    </w:p>
    <w:p>
      <w:pPr>
        <w:pStyle w:val="ListBullet"/>
      </w:pPr>
      <w:r>
        <w:t>Ética: slide 15, sempre.</w:t>
      </w:r>
    </w:p>
    <w:p>
      <w:pPr>
        <w:pStyle w:val="ListBullet"/>
      </w:pPr>
      <w:r>
        <w:t>Fundamentação teórica e resultados parciais: junte 16 e 17, e deixe claro que o estudo está EM ANDAMENTO e que os resultados são parciais.</w:t>
      </w:r>
    </w:p>
    <w:p>
      <w:pPr>
        <w:pStyle w:val="ListBullet"/>
      </w:pPr>
      <w:r>
        <w:t>Considerações e limitações: junte 18 e 19.</w:t>
      </w:r>
    </w:p>
    <w:p>
      <w:r>
        <w:rPr>
          <w:b/>
        </w:rPr>
        <w:t>Diferença de vocabulário entre as duas versões:</w:t>
      </w:r>
      <w:r>
        <w:t xml:space="preserve"> na Mostra, o estudo é apresentado como </w:t>
      </w:r>
      <w:r>
        <w:rPr>
          <w:b/>
        </w:rPr>
        <w:t>em andamento, com resultados parciais</w:t>
      </w:r>
      <w:r>
        <w:t xml:space="preserve">, e a paciente é descrita como </w:t>
      </w:r>
      <w:r>
        <w:rPr>
          <w:b/>
        </w:rPr>
        <w:t>nascida em 1964 (60 anos ao início do acompanhamento, 61 na reavaliação mais recente)</w:t>
      </w:r>
      <w:r>
        <w:t>. Use essa mesma formulação se perguntarem a idade, em qualquer das duas apresentações — é a mais precisa.</w:t>
      </w:r>
    </w:p>
    <w:p>
      <w:r>
        <w:rPr>
          <w:b/>
        </w:rPr>
        <w:t>Linha do tempo (peça isso de cor):</w:t>
      </w:r>
      <w:r>
        <w:t xml:space="preserve"> no terceiro semestre do curso iniciou-se a terapia capilar como preparo da pele, com foco em home care; neste ano constatou-se piora do quadro, o que motivou nova avaliação; a partir da reavaliação houve melhora dos hábitos domésticos — higienização e lavagem mais frequentes e adequadas — em conjunto com o apoio médico, que contribuiu para a melhora do quadro gastrointestinal.</w:t>
      </w:r>
    </w:p>
    <w:p>
      <w:r>
        <w:br w:type="page"/>
      </w:r>
    </w:p>
    <w:p>
      <w:pPr>
        <w:pStyle w:val="Heading1"/>
      </w:pPr>
      <w:r>
        <w:rPr>
          <w:color w:val="1F3B73"/>
        </w:rPr>
        <w:t>3. Perguntas prováveis da banca e respostas-modelo</w:t>
      </w:r>
    </w:p>
    <w:p>
      <w:r>
        <w:t xml:space="preserve">As respostas abaixo são modelos de raciocínio, não textos para decorar. O padrão de uma boa resposta é: </w:t>
      </w:r>
      <w:r>
        <w:rPr>
          <w:b/>
        </w:rPr>
        <w:t>reconhecer a pergunta → responder com o dado → dizer o limite</w:t>
      </w:r>
      <w:r>
        <w:t>.</w:t>
      </w:r>
    </w:p>
    <w:p>
      <w:pPr>
        <w:spacing w:before="200"/>
      </w:pPr>
      <w:r>
        <w:rPr>
          <w:b/>
          <w:color w:val="1F3B73"/>
        </w:rPr>
        <w:t>Pergunta 1 — "Por que você diz que o H. pylori está relacionado, se a evidência direta é de alopecia AREATA e não de androgenética?"</w:t>
      </w:r>
    </w:p>
    <w:p>
      <w:pPr>
        <w:pStyle w:val="ListBullet"/>
      </w:pPr>
      <w:r>
        <w:t>Reconheça de imediato, sem defensiva: "Essa é exatamente a delimitação que o trabalho faz de forma explícita. A evidência direta que liga H. pylori à queda capilar está concentrada na alopecia areata, que tem mecanismo autoimune, diferente da androgenética. Eu não afirmo em nenhum momento que a infecção cause a alopecia androgenética."</w:t>
      </w:r>
    </w:p>
    <w:p>
      <w:pPr>
        <w:pStyle w:val="ListBullet"/>
      </w:pPr>
      <w:r>
        <w:t>Explique a ponte: "O que eu sustento é uma ponte mecanística indireta e plausível. A H. pylori e a gastrite crônica reduzem a acidez gástrica, e essa redução prejudica a absorção do ferro não heme e da vitamina B12. O uso prolongado de inibidor de bomba de prótons, que é o tratamento da gastrite, tem o mesmo efeito. E ferritina baixa está associada à alopecia feminina — Kantor et al. encontraram média de 37,3 ng/mL nas pacientes contra 59,5 nos controles. O folículo é uma das estruturas de maior taxa mitótica do corpo e depende desses nutrientes para sustentar a fase anágena."</w:t>
      </w:r>
    </w:p>
    <w:p>
      <w:pPr>
        <w:pStyle w:val="ListBullet"/>
      </w:pPr>
      <w:r>
        <w:t>Feche com o limite e com a consequência prática: "Por isso trato a condição gastrointestinal como fator coadjuvante e potencialmente acelerador, jamais como causa determinante. E ela teve uma consequência terapêutica concreta: como pode haver má absorção, a via intradérmica, que entrega o ativo direto no plano dérmico, é coerente com o perfil desta paciente."</w:t>
      </w:r>
    </w:p>
    <w:p>
      <w:pPr>
        <w:pStyle w:val="ListBullet"/>
      </w:pPr>
      <w:r>
        <w:t>NUNCA diga: "a H. pylori causou a alopecia dela". Diga sempre fator associado, coexistência, plausibilidade mecanística.</w:t>
      </w:r>
    </w:p>
    <w:p>
      <w:pPr>
        <w:spacing w:before="200"/>
      </w:pPr>
      <w:r>
        <w:rPr>
          <w:b/>
          <w:color w:val="1F3B73"/>
        </w:rPr>
        <w:t>Pergunta 2 — "Por que os resultados pioraram antes de melhorar?"</w:t>
      </w:r>
    </w:p>
    <w:p>
      <w:pPr>
        <w:pStyle w:val="ListBullet"/>
      </w:pPr>
      <w:r>
        <w:t>Assuma a história real, ela valoriza o trabalho: "Na transição para a Fase 2, a tricoscopia não mostrou o ganho de densidade previsto e a paciente percebeu aumento transitório da queda."</w:t>
      </w:r>
    </w:p>
    <w:p>
      <w:pPr>
        <w:pStyle w:val="ListBullet"/>
      </w:pPr>
      <w:r>
        <w:t>Explique a investigação: "Fiz uma reanamnese e encontrei a causa: a higienização estava insuficiente, com intervalos longos entre as lavagens e acúmulo de sebo sobre os óstios foliculares, e o uso do tônico domiciliar estava irregular. Ou seja, o estímulo em cabine estava sendo aplicado sobre um couro cabeludo que não estava sendo mantido em casa."</w:t>
      </w:r>
    </w:p>
    <w:p>
      <w:pPr>
        <w:pStyle w:val="ListBullet"/>
      </w:pPr>
      <w:r>
        <w:t>Mostre a conduta: "Corrigi a conduta: reforcei a orientação de frequência e técnica de higienização, revisei os produtos usados em casa, retomei o tônico de forma sistemática e passei a acompanhar a adesão a cada sessão. Também estendi a série de sessões, adequando o cronograma ao ritmo real da paciente. Depois do ajuste, a resposta clínica mudou de forma perceptível."</w:t>
      </w:r>
    </w:p>
    <w:p>
      <w:pPr>
        <w:pStyle w:val="ListBullet"/>
      </w:pPr>
      <w:r>
        <w:t>Conclua com o aprendizado: "Isso mostrou que a adesão domiciliar foi o determinante mais evidente da oscilação da resposta — e é por isso que, na minha conclusão, educação e acompanhamento próximo são componentes do protocolo, e não recomendações acessórias."</w:t>
      </w:r>
    </w:p>
    <w:p>
      <w:pPr>
        <w:spacing w:before="200"/>
      </w:pPr>
      <w:r>
        <w:rPr>
          <w:b/>
          <w:color w:val="1F3B73"/>
        </w:rPr>
        <w:t>Pergunta 3 — "Por que vocês removeram a menção ao estresse oxidativo?"</w:t>
      </w:r>
    </w:p>
    <w:p>
      <w:pPr>
        <w:pStyle w:val="ListBullet"/>
      </w:pPr>
      <w:r>
        <w:t>Responda com rigor, não com desculpa: "Porque não temos exame laboratorial que comprove estresse oxidativo nesta paciente. O que temos é relato subjetivo colhido em anamnese sobre privação de sono e abalo psicológico."</w:t>
      </w:r>
    </w:p>
    <w:p>
      <w:pPr>
        <w:pStyle w:val="ListBullet"/>
      </w:pPr>
      <w:r>
        <w:t>Explique o critério: "Estresse oxidativo é um mecanismo bioquímico. Afirmá-lo exigiria dosagem de marcadores — capacidade antioxidante total, malondialdeído, superóxido dismutase. Como eu não dosei esses marcadores neste caso, eu preferi não afirmar um mecanismo bioquímico sem evidência direta no meu próprio paciente."</w:t>
      </w:r>
    </w:p>
    <w:p>
      <w:pPr>
        <w:pStyle w:val="ListBullet"/>
      </w:pPr>
      <w:r>
        <w:t>Vire a favor do trabalho: "Essa retirada é rigor científico, não fragilidade do trabalho. A literatura descreve estresse oxidativo na alopecia androgenética de forma geral, mas eu só posso afirmar sobre a minha paciente aquilo que eu de fato mensurei. Inclusive isso está entre as sugestões para estudos futuros: dosagem seriada de ferritina, B12 e zinco e medida quantitativa de densidade."</w:t>
      </w:r>
    </w:p>
    <w:p>
      <w:pPr>
        <w:pStyle w:val="ListBullet"/>
      </w:pPr>
      <w:r>
        <w:t>Se perguntarem por que ainda aparece na versão do seminário: diga que a versão da Mostra Científica é posterior e aplicou um critério mais estrito de evidência, e que a delimitação — fator associado, nunca causa — é a mesma nas duas versões.</w:t>
      </w:r>
    </w:p>
    <w:p>
      <w:pPr>
        <w:spacing w:before="200"/>
      </w:pPr>
      <w:r>
        <w:rPr>
          <w:b/>
          <w:color w:val="1F3B73"/>
        </w:rPr>
        <w:t>Pergunta 4 — "Qual a diferença entre Apêndice e Anexo no seu trabalho, e por que a ficha de anamnese ainda não está anexada?"</w:t>
      </w:r>
    </w:p>
    <w:p>
      <w:pPr>
        <w:pStyle w:val="ListBullet"/>
      </w:pPr>
      <w:r>
        <w:t>Defina corretamente: "Anexo é o documento produzido por terceiros, que eu não elaborei — no meu caso, os exames anatomopatológicos e endoscópicos de 2025 e o exame de controle de 2026, que estão nos Anexos A a G. Apêndice é o documento elaborado pela própria autora."</w:t>
      </w:r>
    </w:p>
    <w:p>
      <w:pPr>
        <w:pStyle w:val="ListBullet"/>
      </w:pPr>
      <w:r>
        <w:t>Seja honesta sobre a pendência: "A ficha de anamnese capilar está referida no trabalho como Anexo H e ainda está pendente de digitalização e inclusão. Ela é um instrumento que eu mesma preenchi durante a avaliação, portanto, pelo critério acima, o lugar mais correto para ela seria como Apêndice."</w:t>
      </w:r>
    </w:p>
    <w:p>
      <w:pPr>
        <w:pStyle w:val="ListBullet"/>
      </w:pPr>
      <w:r>
        <w:t>Mostre encaminhamento: "Vou digitalizá-la e incluí-la na versão final, ajustando também a chamada no texto da seção 3.3 Instrumentos de avaliação."</w:t>
      </w:r>
    </w:p>
    <w:p>
      <w:pPr>
        <w:pStyle w:val="ListBullet"/>
      </w:pPr>
      <w:r>
        <w:t>Dica: se possível, resolva essa pendência ANTES da apresentação. É a única fragilidade formal conhecida do trabalho e é fácil de eliminar.</w:t>
      </w:r>
    </w:p>
    <w:p>
      <w:pPr>
        <w:spacing w:before="200"/>
      </w:pPr>
      <w:r>
        <w:rPr>
          <w:b/>
          <w:color w:val="1F3B73"/>
        </w:rPr>
        <w:t>Pergunta 5 — "Como foi a aprovação ética deste trabalho?"</w:t>
      </w:r>
    </w:p>
    <w:p>
      <w:pPr>
        <w:pStyle w:val="ListBullet"/>
      </w:pPr>
      <w:r>
        <w:t>"O trabalho seguiu os princípios éticos da pesquisa com seres humanos conforme a Resolução 466/12 do Conselho Nacional de Saúde, com aprovação prévia pelo Comitê de Ética em Pesquisa da UNIPLAC sob o número 6.603.39."</w:t>
      </w:r>
    </w:p>
    <w:p>
      <w:pPr>
        <w:pStyle w:val="ListBullet"/>
      </w:pPr>
      <w:r>
        <w:t>"A paciente modelo assinou o Termo de Consentimento Livre e Esclarecido, autorizando expressamente a realização dos procedimentos, o registro fotográfico e a divulgação acadêmica das imagens e dos exames apresentados nos anexos, preservada a sua identificação."</w:t>
      </w:r>
    </w:p>
    <w:p>
      <w:pPr>
        <w:pStyle w:val="ListBullet"/>
      </w:pPr>
      <w:r>
        <w:t>Se perguntarem sobre os exames: "Eles comprovam o acompanhamento médico e a erradicação da infecção; não são objeto de análise laboratorial neste estudo, e estão no trabalho apenas mediante a autorização expressa no TCLE."</w:t>
      </w:r>
    </w:p>
    <w:p>
      <w:pPr>
        <w:spacing w:before="200"/>
      </w:pPr>
      <w:r>
        <w:rPr>
          <w:b/>
          <w:color w:val="1F3B73"/>
        </w:rPr>
        <w:t>Pergunta 6 — "Quem são as suas orientadoras e qual a titulação delas?"</w:t>
      </w:r>
    </w:p>
    <w:p>
      <w:pPr>
        <w:pStyle w:val="ListBullet"/>
      </w:pPr>
      <w:r>
        <w:t>"Profa. Marcia de Liz — Tecnóloga em Cosmetologia e Estética pela UNIPLAC, Especialista em Estética e Imagem Corporal, MBA em Tricologia, Coordenadora do Curso de Tecnologia em Estética e Cosmetologia da UNIPLAC e tricologista."</w:t>
      </w:r>
    </w:p>
    <w:p>
      <w:pPr>
        <w:pStyle w:val="ListBullet"/>
      </w:pPr>
      <w:r>
        <w:t>"Profa. Mariana Macedo Justi — Biomédica e Cosmetóloga Esteta pela UNIPLAC, Especialista em Biomedicina Estética e em Ozonioterapia na Estética."</w:t>
      </w:r>
    </w:p>
    <w:p>
      <w:pPr>
        <w:pStyle w:val="ListBullet"/>
      </w:pPr>
      <w:r>
        <w:t>Decore isso. É a pergunta mais fácil de errar por nervosismo e a mais constrangedora de não saber.</w:t>
      </w:r>
    </w:p>
    <w:p>
      <w:pPr>
        <w:spacing w:before="200"/>
      </w:pPr>
      <w:r>
        <w:rPr>
          <w:b/>
          <w:color w:val="1F3B73"/>
        </w:rPr>
        <w:t>Pergunta 7 — "Por que você não pode atribuir o resultado à fotobiomodulação ou à intradermoterapia isoladamente?"</w:t>
      </w:r>
    </w:p>
    <w:p>
      <w:pPr>
        <w:pStyle w:val="ListBullet"/>
      </w:pPr>
      <w:r>
        <w:t>"Porque o protocolo foi combinado. Apliquei fotobiomodulação, intradermoterapia e cuidado domiciliar simultaneamente, então não é possível isolar a contribuição de cada recurso."</w:t>
      </w:r>
    </w:p>
    <w:p>
      <w:pPr>
        <w:pStyle w:val="ListBullet"/>
      </w:pPr>
      <w:r>
        <w:t>"Além disso, é um estudo de caso único, sem grupo controle, o que por delineamento não permite inferência causal nem generalização. Existem ainda fatores de confusão: a natureza multifatorial da AAF, a adesão da paciente, o estresse, o sono fragmentado e a medicação contínua, cuja bula descreve edema e retenção hídrica entre os efeitos possíveis."</w:t>
      </w:r>
    </w:p>
    <w:p>
      <w:pPr>
        <w:pStyle w:val="ListBullet"/>
      </w:pPr>
      <w:r>
        <w:t>"O que o caso oferece é a descrição detalhada e honesta de uma conduta clínica e da sua evolução real — inclusive da fase em que não funcionou — o que tem valor didático e gera hipóteses para estudos maiores."</w:t>
      </w:r>
    </w:p>
    <w:p>
      <w:pPr>
        <w:spacing w:before="200"/>
      </w:pPr>
      <w:r>
        <w:rPr>
          <w:b/>
          <w:color w:val="1F3B73"/>
        </w:rPr>
        <w:t>Pergunta 8 — "Por que escolheu a via intradérmica e não só o tratamento tópico?"</w:t>
      </w:r>
    </w:p>
    <w:p>
      <w:pPr>
        <w:pStyle w:val="ListBullet"/>
      </w:pPr>
      <w:r>
        <w:t>"Porque a microinjeção leva o ativo direto ao folículo, no plano dérmico, contornando as barreiras de absorção. No caso desta paciente isso é especialmente coerente, porque há histórico de gastrite crônica e de H. pylori, condições associadas a prejuízo de absorção de micronutrientes."</w:t>
      </w:r>
    </w:p>
    <w:p>
      <w:pPr>
        <w:pStyle w:val="ListBullet"/>
      </w:pPr>
      <w:r>
        <w:t>"A técnica usada foi a de pápula: agulha 30G, profundidade de 2 a 4 mm, cerca de 0,05 a 0,1 mL por ponto, com pápulas a cada 2 cm. A composição foi a Mescla PHD: minoxidil 8 mg, nanofatores 1%, latanoprosta 50 mcg, Pill Food e lidocaína 20 mg."</w:t>
      </w:r>
    </w:p>
    <w:p>
      <w:pPr>
        <w:pStyle w:val="ListBullet"/>
      </w:pPr>
      <w:r>
        <w:t>"E o tópico não foi abandonado: o home care com tônico Capilia Longa foi mantido diariamente — e, como mostrei na discussão, foi justamente a irregularidade nesse uso que fez a resposta estagnar."</w:t>
      </w:r>
    </w:p>
    <w:p>
      <w:pPr>
        <w:spacing w:before="200"/>
      </w:pPr>
      <w:r>
        <w:rPr>
          <w:b/>
          <w:color w:val="1F3B73"/>
        </w:rPr>
        <w:t>Pergunta 9 — "Por que fazer duas fases, e não começar direto pelo estímulo?"</w:t>
      </w:r>
    </w:p>
    <w:p>
      <w:pPr>
        <w:pStyle w:val="ListBullet"/>
      </w:pPr>
      <w:r>
        <w:t>"Porque só um couro cabeludo equilibrado responde bem ao estímulo. Na avaliação inicial havia sinais inflamatórios, hiperemia e oleosidade aumentada. Estimular um folículo em ambiente inflamado é desperdiçar o recurso."</w:t>
      </w:r>
    </w:p>
    <w:p>
      <w:pPr>
        <w:pStyle w:val="ListBullet"/>
      </w:pPr>
      <w:r>
        <w:t>"Por isso a Fase 1 foi de desinflamação, com aromaterapia, argiloterapia e fotobiomodulação com luz azul, duas vezes por semana. Só depois de confirmar a redução da hiperemia e da oleosidade é que entrei na Fase 2, com intradermoterapia quinzenal e luz vermelha."</w:t>
      </w:r>
    </w:p>
    <w:p>
      <w:pPr>
        <w:pStyle w:val="ListBullet"/>
      </w:pPr>
      <w:r>
        <w:t>"Essa lógica também se apoia na resposta bifásica da fotobiomodulação: dose baixa estimula e dose alta inibe, então usei fluências baixas na fase de estímulo."</w:t>
      </w:r>
    </w:p>
    <w:p>
      <w:pPr>
        <w:spacing w:before="200"/>
      </w:pPr>
      <w:r>
        <w:rPr>
          <w:b/>
          <w:color w:val="1F3B73"/>
        </w:rPr>
        <w:t>Pergunta 10 — "O estudo está concluído? Quais os próximos passos?"</w:t>
      </w:r>
    </w:p>
    <w:p>
      <w:pPr>
        <w:pStyle w:val="ListBullet"/>
      </w:pPr>
      <w:r>
        <w:t>"O acompanhamento está em andamento e o que apresento são resultados parciais, acompanhados por tricoscopia e registro fotográfico padronizado, com reavaliação bimestral."</w:t>
      </w:r>
    </w:p>
    <w:p>
      <w:pPr>
        <w:pStyle w:val="ListBullet"/>
      </w:pPr>
      <w:r>
        <w:t>"Os próximos passos que eu proponho são: amostras maiores, dosagem seriada de ferritina, vitamina B12 e zinco, e medida quantitativa de densidade capilar, para transformar a avaliação predominantemente qualitativa em dado objetivo."</w:t>
      </w:r>
    </w:p>
    <w:p>
      <w:r>
        <w:br w:type="page"/>
      </w:r>
    </w:p>
    <w:p>
      <w:pPr>
        <w:pStyle w:val="Heading1"/>
      </w:pPr>
      <w:r>
        <w:rPr>
          <w:color w:val="1F3B73"/>
        </w:rPr>
        <w:t>4. Postura, tempo de fala e ensaio</w:t>
      </w:r>
    </w:p>
    <w:p>
      <w:pPr>
        <w:pStyle w:val="Heading2"/>
      </w:pPr>
      <w:r>
        <w:rPr>
          <w:color w:val="1F3B73"/>
        </w:rPr>
        <w:t>O que a professora orientou</w:t>
      </w:r>
    </w:p>
    <w:p>
      <w:pPr>
        <w:pStyle w:val="ListBullet"/>
      </w:pPr>
      <w:r>
        <w:rPr>
          <w:b/>
        </w:rPr>
        <w:t>Fale com as suas palavras — não leia o slide.</w:t>
      </w:r>
      <w:r>
        <w:t xml:space="preserve"> O slide é apoio visual para quem assiste. Se você ler, a banca percebe na hora e o domínio do conteúdo fica em dúvida. Olhe para a plateia, não para a tela.</w:t>
      </w:r>
    </w:p>
    <w:p>
      <w:pPr>
        <w:pStyle w:val="ListBullet"/>
      </w:pPr>
      <w:r>
        <w:rPr>
          <w:b/>
        </w:rPr>
        <w:t>Não atropele as informações.</w:t>
      </w:r>
      <w:r>
        <w:t xml:space="preserve"> Melhor dizer menos coisas com clareza do que despejar tudo. Respire entre os blocos. Termine a frase antes de passar o slide.</w:t>
      </w:r>
    </w:p>
    <w:p>
      <w:pPr>
        <w:pStyle w:val="ListBullet"/>
      </w:pPr>
      <w:r>
        <w:rPr>
          <w:b/>
        </w:rPr>
        <w:t>Ensaie antes, em voz alta e cronometrando.</w:t>
      </w:r>
      <w:r>
        <w:t xml:space="preserve"> Ensaiar em silêncio não funciona — o tempo real de fala é sempre maior do que o imaginado. Ensaie pelo menos três vezes de ponta a ponta.</w:t>
      </w:r>
    </w:p>
    <w:p>
      <w:pPr>
        <w:pStyle w:val="ListBullet"/>
      </w:pPr>
      <w:r>
        <w:rPr>
          <w:b/>
        </w:rPr>
        <w:t>Cuide o tempo.</w:t>
      </w:r>
      <w:r>
        <w:t xml:space="preserve"> Saiba quanto tempo você tem e divida por blocos. Se perceber que está atrasada no meio, corte os slides de apoio (3, 6 e 20), nunca os slides 8, 17 e 19.</w:t>
      </w:r>
    </w:p>
    <w:p>
      <w:pPr>
        <w:pStyle w:val="ListBullet"/>
      </w:pPr>
      <w:r>
        <w:rPr>
          <w:b/>
        </w:rPr>
        <w:t>Tenha certeza de que consegue explicar o trabalho inteiro em poucas frases.</w:t>
      </w:r>
      <w:r>
        <w:t xml:space="preserve"> Se o tempo for cortado, use a versão de 30 segundos da seção 1 deste roteiro. Essa é a única parte que vale decorar literalmente.</w:t>
      </w:r>
    </w:p>
    <w:p>
      <w:pPr>
        <w:pStyle w:val="Heading2"/>
      </w:pPr>
      <w:r>
        <w:rPr>
          <w:color w:val="1F3B73"/>
        </w:rPr>
        <w:t>Checklist de ensaio</w:t>
      </w:r>
    </w:p>
    <w:p>
      <w:pPr>
        <w:pStyle w:val="ListBullet"/>
      </w:pPr>
      <w:r>
        <w:t>Ensaiei em voz alta, cronometrando, pelo menos 3 vezes.</w:t>
      </w:r>
    </w:p>
    <w:p>
      <w:pPr>
        <w:pStyle w:val="ListBullet"/>
      </w:pPr>
      <w:r>
        <w:t>Consigo explicar o slide 8 (fator associado, nunca causa) sem olhar nada.</w:t>
      </w:r>
    </w:p>
    <w:p>
      <w:pPr>
        <w:pStyle w:val="ListBullet"/>
      </w:pPr>
      <w:r>
        <w:t>Sei de cor: número do CEP 6.603.39, Resolução 466/12, TCLE.</w:t>
      </w:r>
    </w:p>
    <w:p>
      <w:pPr>
        <w:pStyle w:val="ListBullet"/>
      </w:pPr>
      <w:r>
        <w:t>Sei de cor a titulação das duas orientadoras.</w:t>
      </w:r>
    </w:p>
    <w:p>
      <w:pPr>
        <w:pStyle w:val="ListBullet"/>
      </w:pPr>
      <w:r>
        <w:t>Sei a idade da paciente na formulação correta: nascida em 1964, 60 anos ao início, 61 na reavaliação mais recente.</w:t>
      </w:r>
    </w:p>
    <w:p>
      <w:pPr>
        <w:pStyle w:val="ListBullet"/>
      </w:pPr>
      <w:r>
        <w:t>Sei contar a história da piora e da correção de conduta sem soar como desculpa.</w:t>
      </w:r>
    </w:p>
    <w:p>
      <w:pPr>
        <w:pStyle w:val="ListBullet"/>
      </w:pPr>
      <w:r>
        <w:t>Testei o arquivo no computador da apresentação (fontes, imagens da tricoscopia, ordem dos slides).</w:t>
      </w:r>
    </w:p>
    <w:p>
      <w:pPr>
        <w:pStyle w:val="ListBullet"/>
      </w:pPr>
      <w:r>
        <w:t>Resolvi (ou sei explicar) a pendência do Anexo H — ficha de anamnese.</w:t>
      </w:r>
    </w:p>
    <w:p>
      <w:pPr>
        <w:pStyle w:val="ListBullet"/>
      </w:pPr>
      <w:r>
        <w:t>Tenho a versão de 30 segundos pronta, caso o tempo seja cortado.</w:t>
      </w:r>
    </w:p>
    <w:p>
      <w:pPr>
        <w:pStyle w:val="Heading2"/>
      </w:pPr>
      <w:r>
        <w:rPr>
          <w:color w:val="1F3B73"/>
        </w:rPr>
        <w:t>Na hora de falar</w:t>
      </w:r>
    </w:p>
    <w:p>
      <w:pPr>
        <w:pStyle w:val="ListBullet"/>
      </w:pPr>
      <w:r>
        <w:t>Comece devagar. Os primeiros 30 segundos definem o ritmo de toda a apresentação.</w:t>
      </w:r>
    </w:p>
    <w:p>
      <w:pPr>
        <w:pStyle w:val="ListBullet"/>
      </w:pPr>
      <w:r>
        <w:t>Pausas são suas aliadas — silêncio curto passa segurança; "é..." e "tipo assim" passam o contrário.</w:t>
      </w:r>
    </w:p>
    <w:p>
      <w:pPr>
        <w:pStyle w:val="ListBullet"/>
      </w:pPr>
      <w:r>
        <w:t>Se travar num dado, não invente: diga "esse número está no artigo, posso confirmar depois".</w:t>
      </w:r>
    </w:p>
    <w:p>
      <w:pPr>
        <w:pStyle w:val="ListBullet"/>
      </w:pPr>
      <w:r>
        <w:t>Se a banca interromper, escute a pergunta inteira antes de responder. Não interrompa de volta.</w:t>
      </w:r>
    </w:p>
    <w:p>
      <w:pPr>
        <w:pStyle w:val="ListBullet"/>
      </w:pPr>
      <w:r>
        <w:t>Se não souber a resposta, diga com naturalidade: "não investiguei esse ponto neste estudo, mas é uma limitação que reconheço e uma boa sugestão para continuidade". Isso conta a favor.</w:t>
      </w:r>
    </w:p>
    <w:p>
      <w:pPr>
        <w:pStyle w:val="ListBullet"/>
      </w:pPr>
      <w:r>
        <w:t>Mãos visíveis, pés firmes, ombros para trás. Evite ficar atrás do computador o tempo todo.</w:t>
      </w:r>
    </w:p>
    <w:p>
      <w:r>
        <w:rPr>
          <w:b/>
        </w:rPr>
        <w:t>Uma última coisa:</w:t>
      </w:r>
      <w:r>
        <w:t xml:space="preserve"> este trabalho tem uma força que poucos trabalhos de graduação têm — ele conta o que não funcionou e por quê, e ele recusa uma afirmação fácil (H. pylori causa queda) em favor de uma afirmação correta (fator associado, por má absorção). Apresente isso com orgulho, porque é exatamente isso que uma banca reconhece como método.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