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b/>
          <w:bCs/>
        </w:rPr>
        <w:t xml:space="preserve">ALOPECIA ANDROGENÉTICA FEMININA E SAÚDE GASTROINTESTINAL: ESTUDO DE CASO DE UM PROTOCOLO ESTÉTICO COM FOTOBIOMODULAÇÃO, INTRADERMOTERAPIA CAPILAR E CUIDADO DOMICILIAR</w:t>
      </w:r>
    </w:p>
    <w:p>
      <w:pPr>
        <w:spacing w:line="240" w:lineRule="auto"/>
      </w:pPr>
    </w:p>
    <w:p>
      <w:pPr>
        <w:spacing w:line="240" w:lineRule="auto"/>
        <w:jc w:val="right"/>
      </w:pPr>
      <w:r>
        <w:t xml:space="preserve">LOPES, Paola Bortoli Pinheiro</w:t>
      </w:r>
      <w:r>
        <w:rPr>
          <w:vertAlign w:val="superscript"/>
        </w:rPr>
        <w:footnoteReference w:id="1"/>
      </w:r>
    </w:p>
    <w:p>
      <w:pPr>
        <w:spacing w:line="240" w:lineRule="auto"/>
        <w:jc w:val="right"/>
      </w:pPr>
      <w:r>
        <w:t xml:space="preserve">LIZ, Marcia de</w:t>
      </w:r>
      <w:r>
        <w:rPr>
          <w:vertAlign w:val="superscript"/>
        </w:rPr>
        <w:footnoteReference w:id="2"/>
      </w:r>
    </w:p>
    <w:p>
      <w:pPr>
        <w:spacing w:line="240" w:lineRule="auto"/>
        <w:jc w:val="right"/>
      </w:pPr>
      <w:r>
        <w:t xml:space="preserve">JUSTI, Mariana Macedo</w:t>
      </w:r>
      <w:r>
        <w:rPr>
          <w:vertAlign w:val="superscript"/>
        </w:rPr>
        <w:footnoteReference w:id="3"/>
      </w:r>
    </w:p>
    <w:p>
      <w:pPr>
        <w:spacing w:before="0" w:after="100" w:line="240" w:lineRule="auto"/>
        <w:jc w:val="both"/>
      </w:pPr>
      <w:r>
        <w:rPr>
          <w:b/>
          <w:bCs/>
        </w:rPr>
        <w:t xml:space="preserve">INTRODUÇÃO: </w:t>
      </w:r>
      <w:r>
        <w:rPr/>
        <w:t xml:space="preserve">A alopecia androgenética feminina (AAF) é disfunção capilar crônica, progressiva e multifatorial, marcada pela miniaturização folicular e pela rarefação difusa do topo. Sua progressão pode ser modulada por fatores sistêmicos, como alterações gastrointestinais que comprometem a absorção de ferro, vitamina B12 e zinco. O histórico de </w:t>
      </w:r>
      <w:r>
        <w:rPr>
          <w:i/>
          <w:iCs/>
        </w:rPr>
        <w:t xml:space="preserve">Helicobacter pylori</w:t>
      </w:r>
      <w:r>
        <w:rPr/>
        <w:t xml:space="preserve"> e de gastrite crônica é tratado como fator associado, jamais como causa: a evidência direta que o vincula à queda capilar concentra-se na alopecia areata, autoimune e distinta. </w:t>
      </w:r>
      <w:r>
        <w:rPr>
          <w:b/>
          <w:bCs/>
        </w:rPr>
        <w:t xml:space="preserve">OBJETIVO: </w:t>
      </w:r>
      <w:r>
        <w:rPr/>
        <w:t xml:space="preserve">Descrever um protocolo estético com fotobiomodulação, intradermoterapia capilar e cuidado domiciliar, conduzido em paralelo ao acompanhamento médico. </w:t>
      </w:r>
      <w:r>
        <w:rPr>
          <w:b/>
          <w:bCs/>
        </w:rPr>
        <w:t xml:space="preserve">METODOLOGIA: </w:t>
      </w:r>
      <w:r>
        <w:rPr/>
        <w:t xml:space="preserve">Estudo de caso descritivo e qualitativo, em andamento, com paciente nascida em 1964 (60 anos ao início e 61 na reavaliação mais recente), com histórico familiar de calvície, gastrite crônica em tratamento e </w:t>
      </w:r>
      <w:r>
        <w:rPr>
          <w:i/>
          <w:iCs/>
        </w:rPr>
        <w:t xml:space="preserve">H. pylori</w:t>
      </w:r>
      <w:r>
        <w:rPr/>
        <w:t xml:space="preserve"> já erradicado e confirmado por exames; a anamnese identificou ainda relato de estresse psicológico e privação de sono, associados a distúrbios capilares. Em 2023, a paciente realizou tratamento de desinflamação do couro cabeludo, não conduzido pela autora; meses depois, houve piora, e a investigação identificou </w:t>
      </w:r>
      <w:r>
        <w:rPr>
          <w:i/>
          <w:iCs/>
        </w:rPr>
        <w:t xml:space="preserve">H. pylori</w:t>
      </w:r>
      <w:r>
        <w:rPr/>
        <w:t xml:space="preserve"> e gastrite, com cura da infecção após antibióticos e persistência da gastrite. Em 2024, iniciou-se estimulação mais intensa, com intradermoterapia por pápula, luz vermelha e tônico domiciliar. Usaram-se anamnese capilar, tricoscopia e registro fotográfico padronizado. Seguiu-se a Resolução 466/12 do CNS, com aprovação do Comitê de Ética em Pesquisa da UNIPLAC sob o número 6.603.39 e assinatura do Termo de Consentimento Livre e Esclarecido (TCLE). </w:t>
      </w:r>
      <w:r>
        <w:rPr>
          <w:b/>
          <w:bCs/>
        </w:rPr>
        <w:t xml:space="preserve">RESULTADOS: </w:t>
      </w:r>
      <w:r>
        <w:rPr/>
        <w:t xml:space="preserve">A pesquisa está em andamento e os resultados ainda não foram analisados, pois dependem do registro fotográfico final e da reavaliação tricoscópica. A literatura embasa os recursos: a fotobiomodulação eleva o ATP folicular e prolonga a fase anágena (Avci et al., 2014) e a intradermoterapia entrega os ativos no plano dérmico, contornando a absorção gastrointestinal (Uzel et al., 2021). Sustenta-se ponte mecanística plausível entre o quadro gastrointestinal e a alopecia, sem causalidade.</w:t>
      </w:r>
    </w:p>
    <w:p>
      <w:pPr>
        <w:spacing w:before="0" w:after="100" w:line="240" w:lineRule="auto"/>
        <w:jc w:val="both"/>
      </w:pPr>
      <w:r>
        <w:rPr>
          <w:b/>
          <w:bCs/>
        </w:rPr>
        <w:t xml:space="preserve">Palavras-Chave: </w:t>
      </w:r>
      <w:r>
        <w:rPr/>
        <w:t xml:space="preserve">Alopecia androgenética feminina. Fotobiomodulação. Intradermoterapia capilar. Helicobacter pylori.</w:t>
      </w:r>
    </w:p>
    <w:p>
      <w:pPr>
        <w:spacing w:before="0" w:after="0" w:line="240" w:lineRule="auto"/>
        <w:jc w:val="both"/>
      </w:pPr>
      <w:r>
        <w:rPr>
          <w:b/>
          <w:bCs/>
        </w:rPr>
        <w:t xml:space="preserve">DECLARAÇÃO DE USO DE IAG: </w:t>
      </w:r>
      <w:r>
        <w:rPr/>
        <w:t xml:space="preserve">Os autores declaram o uso da ferramenta Claude (Anthropic) para organização de ideias, revisão linguística e adequação do texto às normas do evento. O conteúdo gerado foi revisado e validado pelos autores, que assumem integral responsabilidade pelo texto submetido.</w:t>
      </w:r>
    </w:p>
    <w:sectPr w:rsidR="0060407D" w:rsidRPr="00576411">
      <w:headerReference w:type="default" r:id="rId6"/>
      <w:pgSz w:w="11909" w:h="16834"/>
      <w:pgMar w:top="0" w:right="1134" w:bottom="1134" w:left="1701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EFC8B" w14:textId="77777777" w:rsidR="003B0188" w:rsidRDefault="003B0188">
      <w:pPr>
        <w:spacing w:line="240" w:lineRule="auto"/>
      </w:pPr>
      <w:r>
        <w:separator/>
      </w:r>
    </w:p>
  </w:endnote>
  <w:endnote w:type="continuationSeparator" w:id="0">
    <w:p w14:paraId="59F436EF" w14:textId="77777777" w:rsidR="003B0188" w:rsidRDefault="003B01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BD6F960-9F36-4153-A7A5-9649311FEC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263FA55-6EED-4E89-B8C9-6C70A77788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9D39AF" w14:textId="77777777" w:rsidR="003B0188" w:rsidRDefault="003B0188">
      <w:pPr>
        <w:spacing w:line="240" w:lineRule="auto"/>
      </w:pPr>
      <w:r>
        <w:separator/>
      </w:r>
    </w:p>
  </w:footnote>
  <w:footnote w:type="continuationSeparator" w:id="0">
    <w:p w14:paraId="3C4B14C3" w14:textId="77777777" w:rsidR="003B0188" w:rsidRDefault="003B0188">
      <w:pPr>
        <w:spacing w:line="240" w:lineRule="auto"/>
      </w:pPr>
      <w:r>
        <w:continuationSeparator/>
      </w:r>
    </w:p>
  </w:footnote>
  <w:footnote w:id="1">
    <w:p>
      <w:pPr>
        <w:spacing w:line="240" w:lineRule="auto"/>
        <w:jc w:val="both"/>
      </w:pPr>
      <w:r>
        <w:rPr>
          <w:vertAlign w:val="superscript"/>
        </w:rPr>
        <w:footnoteRef/>
      </w:r>
      <w:r>
        <w:rPr>
          <w:color w:val="000000"/>
          <w:sz w:val="18"/>
          <w:szCs w:val="18"/>
        </w:rPr>
        <w:t xml:space="preserve"> Universidade do Planalto Catarinense – UNIPLAC. Graduanda em Tecnologia em Estética e Cosmetologia. E-mail: paolabortolilionn@gmail.com, ORCID [a confirmar], Lattes [a confirmar].</w:t>
      </w:r>
    </w:p>
  </w:footnote>
  <w:footnote w:id="2">
    <w:p>
      <w:pPr>
        <w:spacing w:line="240" w:lineRule="auto"/>
        <w:jc w:val="both"/>
      </w:pPr>
      <w:r>
        <w:rPr>
          <w:vertAlign w:val="superscript"/>
        </w:rPr>
        <w:footnoteRef/>
      </w:r>
      <w:r>
        <w:rPr>
          <w:color w:val="000000"/>
          <w:sz w:val="18"/>
          <w:szCs w:val="18"/>
        </w:rPr>
        <w:t xml:space="preserve"> Universidade do Planalto Catarinense – UNIPLAC. Orientadora. Tecnóloga em Cosmetologia e Estética Facial e Corporal pela UNIPLAC. Especialista em Estética e Imagem Corporal e MBA em Tricologia. Coordenadora do Curso de Tecnologia em Estética e Cosmetologia da UNIPLAC. Tricologista. E-mail [a confirmar], ORCID [a confirmar], Lattes: http://lattes.cnpq.br/5077931888781194.</w:t>
      </w:r>
    </w:p>
  </w:footnote>
  <w:footnote w:id="3">
    <w:p>
      <w:pPr>
        <w:spacing w:line="240" w:lineRule="auto"/>
        <w:jc w:val="both"/>
      </w:pPr>
      <w:r>
        <w:rPr>
          <w:vertAlign w:val="superscript"/>
        </w:rPr>
        <w:footnoteRef/>
      </w:r>
      <w:r>
        <w:rPr>
          <w:color w:val="000000"/>
          <w:sz w:val="18"/>
          <w:szCs w:val="18"/>
        </w:rPr>
        <w:t xml:space="preserve"> Universidade do Planalto Catarinense – UNIPLAC. Orientadora. Biomédica e Cosmetóloga Esteta pela UNIPLAC. Especialista em Biomedicina Estética e em Ozonioterapia na Estética. Docente do curso de Tecnologia em Estética e Cosmetologia da UNIPLAC. E-mail [a confirmar], ORCID [a confirmar], Lattes: http://lattes.cnpq.br/5883666144835290.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F8D50" w14:textId="77777777" w:rsidR="00B52A0C" w:rsidRDefault="002314E8">
    <w:pPr>
      <w:ind w:left="-1440"/>
    </w:pPr>
    <w:r>
      <w:rPr>
        <w:noProof/>
      </w:rPr>
      <w:drawing>
        <wp:inline distT="114300" distB="114300" distL="114300" distR="114300" wp14:anchorId="5F7A65BD" wp14:editId="759DE2AB">
          <wp:extent cx="7514623" cy="1185863"/>
          <wp:effectExtent l="0" t="0" r="0" b="0"/>
          <wp:docPr id="1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14623" cy="11858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2A0C"/>
    <w:rsid w:val="0016710B"/>
    <w:rsid w:val="001F3671"/>
    <w:rsid w:val="002314E8"/>
    <w:rsid w:val="002C774A"/>
    <w:rsid w:val="003B0188"/>
    <w:rsid w:val="0049366F"/>
    <w:rsid w:val="004C7CD8"/>
    <w:rsid w:val="005664B8"/>
    <w:rsid w:val="00576411"/>
    <w:rsid w:val="0060407D"/>
    <w:rsid w:val="007B174C"/>
    <w:rsid w:val="00991EA8"/>
    <w:rsid w:val="00A52DAE"/>
    <w:rsid w:val="00B524FA"/>
    <w:rsid w:val="00B52A0C"/>
    <w:rsid w:val="00B968EB"/>
    <w:rsid w:val="00C910AF"/>
    <w:rsid w:val="00CD60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980E8"/>
  <w15:docId w15:val="{4F35B1D9-20C0-4B36-AF7D-8BB3379B4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abealho">
    <w:name w:val="header"/>
    <w:basedOn w:val="Normal"/>
    <w:link w:val="CabealhoChar"/>
    <w:uiPriority w:val="99"/>
    <w:unhideWhenUsed/>
    <w:rsid w:val="007B174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B174C"/>
  </w:style>
  <w:style w:type="paragraph" w:styleId="Rodap">
    <w:name w:val="footer"/>
    <w:basedOn w:val="Normal"/>
    <w:link w:val="RodapChar"/>
    <w:uiPriority w:val="99"/>
    <w:unhideWhenUsed/>
    <w:rsid w:val="007B174C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B174C"/>
  </w:style>
  <w:style w:type="character" w:styleId="Hyperlink">
    <w:name w:val="Hyperlink"/>
    <w:basedOn w:val="Fontepargpadro"/>
    <w:uiPriority w:val="99"/>
    <w:unhideWhenUsed/>
    <w:rsid w:val="007B174C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B17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417</Words>
  <Characters>2256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Madalena Pereira da Silva</dc:creator>
  <cp:lastModifiedBy>Madalena Silva</cp:lastModifiedBy>
  <cp:revision>7</cp:revision>
  <dcterms:created xsi:type="dcterms:W3CDTF">2026-08-24T12:32:00Z</dcterms:created>
  <dcterms:modified xsi:type="dcterms:W3CDTF">2026-09-03T22:32:00Z</dcterms:modified>
</cp:coreProperties>
</file>