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UNIVERSIDADE DO PLANALTO CATARINENSE — UNIPLAC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Tecnologia em Estética e Cosmética — 5ª Fase — 2026/1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Eletroterapia Avançada</w:t>
      </w:r>
    </w:p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RELATÓRIO DE PRÁTICA EM ELETROTERAPIA AVANÇADA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Redução de medidas e flacidez: radiofrequência, ultrassom e carboxiterapia — relato de prática laboratorial</w:t>
      </w:r>
    </w:p>
    <w:p/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Acadêmicas: Paola Bortoli Pinheiro Lopes e Vanessa Melo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Modelos atendidas: Paola (braços) e Vanessa (abdômen e glúteo)</w:t>
      </w:r>
    </w:p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Professora: Mariana Macedo Justi</w:t>
      </w:r>
    </w:p>
    <w:p/>
    <w:p/>
    <w:p/>
    <w:p/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LAGES — SC | 2026</w:t>
      </w:r>
    </w:p>
    <w:p>
      <w:r>
        <w:br w:type="page"/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INTRODUÇÃO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eletroterapia reúne recursos elétricos, térmicos e mecânicos amplamente empregados na estética corporal para o tratamento de disfunções como a gordura localizada e a flacidez tissular (GUIRRO; GUIRRO, 2010). Tecnologias como a radiofrequência, o ultrassom e a carboxiterapia atuam por mecanismos distintos e complementares, promovendo aquecimento controlado, estímulo de colágeno e mobilização de gordura (AGNE, 2009; BORGES, 2010).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descreve as práticas laboratoriais realizadas na disciplina de Eletroterapia Avançada pela dupla de acadêmicas, que atuaram como esteticistas e como modelos. O foco principal recai sobre a aplicação de radiofrequência nos braços de uma das acadêmicas (paciente-modelo), com o objetivo de reduzir medidas e melhorar a flacidez; apresentam-se, ainda, os procedimentos e medidas da segunda acadêmica (abdômen e glúteo). A resposta aos protocolos foi acompanhada por perimetria, em avaliação inicial e final.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DESENVOLVIMENTO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seguir, apresentam-se as tecnologias de eletroterapia utilizadas durante as práticas, com um breve comentário sobre cada uma.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Radiofrequência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radiofrequência é uma terapia que utiliza corrente elétrica de alta frequência (acima de 250 kHz), classificada conforme o tipo de aparelho — capacitivo (frequência próxima a 450 kHz) ou resistivo (acima de 1 MHz). O calor é gerado pela agitação das moléculas de água e pelo atrito entre as moléculas dos tecidos diante da passagem da corrente, elevando a temperatura local de forma controlada (GUIRRO; GUIRRO, 2010; AGNE, 2009).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Na faixa terapêutica de 39 °C a 45 °C ocorre a retração imediata das fibras colágenas pela sua reorganização, sem dano tecidual, enquanto a desnaturação só se inicia acima de 50 °C — o que reforça a importância de monitorar a temperatura. O aquecimento promove vasodilatação e aumento da circulação (a partir de 40 °C), eleva a atividade metabólica (cerca de 13% a cada 1 °C) e desencadeia pequenos processos inflamatórios que estimulam os fibroblastos à neocolagênese e à neoelastogênese, com pico de produção por volta de 21 dias e efeito que perdura por até 4 meses após a sessão (BORGES, 2010). O aumento da temperatura interna também favorece a lipólise, com mobilização do conteúdo dos adipócitos, auxiliando no tratamento da gordura localizada. Trata-se de recurso não invasivo, indolor e de boa tolerância (AGNE, 2009).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Ultrassom estético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ultrassom utiliza ondas mecânicas de alta frequência que produzem efeitos térmicos e mecânicos (cavitação e microcorrentes) nos tecidos, favorecendo a permeação de ativos, a melhora da circulação e a mobilização da gordura localizada (GUIRRO; GUIRRO, 2010).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Ultrassom microfocado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ultrassom microfocado entrega energia em pontos focais de profundidade definida, gerando pontos de coagulação térmica que estimulam a contração e a renovação do colágeno em camadas mais profundas, sendo indicado principalmente para o tratamento da flacidez (BORGES, 2010).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Carboxiterapia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carboxiterapia consiste na aplicação subcutânea de gás carbônico medicinal (CO₂), que melhora a oxigenação tecidual (efeito Bohr), estimula a microcirculação e o metabolismo local e auxilia no tratamento da gordura localizada, da flacidez e da fibrose pós-procedimentos (BORGES, 2010).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Eletroestimulação (correntes)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correntes elétricas excitomotoras promovem contração muscular passiva, sendo empregadas para tonificação e hipertrofia (estímulo da musculatura, p. ex., do glúteo); correntes de finalidade analgésica também são utilizadas para o conforto durante e após os procedimentos (AGNE, 2009; GUIRRO; GUIRRO, 2010).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PROTOCOLO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Paola — Radiofrequência nos braços (foco)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Área tratada: braços (direito e esquerdo). Objetivo: redução de medidas (gordura localizada) e melhora da flacidez tissular. Foram realizadas 3 (três) sessões de radiofrequência, nas datas das aulas práticas, conforme o quadro a seguir.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Sessão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1ª sessão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07/05/2026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Braços (D e E)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2ª sessão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28/05/2026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Braços (D e E)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3ª sessão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18/06/2026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Braços (D e E)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Configuração do aparelho utilizada: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pct" w:w="50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Técnica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 monopolar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Placa de retorno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Temperatura-alvo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 °C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Potência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Máxima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Frequência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[a confirmar — verificar no caderno]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por sessão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 minutos</w:t>
            </w:r>
          </w:p>
        </w:tc>
      </w:tr>
      <w:tr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Flacidez tissular e gordura localizada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Técnica de aplicação: aplicou-se gel/creme condutor sobre a área, com manobras circulares contínuas do manípulo, mantendo a temperatura-alvo de 42 °C monitorada por termômetro durante toda a sessão (15 minutos por braço). Cuidados e intercorrências: a temperatura foi controlada para evitar queimaduras e, ao final, a área foi hidratada; não foram observadas intercorrências (eritema persistente, dor ou bolhas).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Vanessa — procedimentos realizados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segunda acadêmica realizou procedimentos na face (carboxiterapia) e no glúteo (eletroestimulação, radiofrequência e carboxiterapia associada ao descolamento de fibrose), conforme o quadro a seguir.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Procedimento</w:t>
            </w:r>
          </w:p>
        </w:tc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pct" w:w="33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Sessões / datas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Carboxiterapia (bigode chinês)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Face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2× — 07/05 e 18/06/2026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Eletroestimulação (correntes, analgesia)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Glúteo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2×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Eletroestimulação (hipertrofia)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Glúteo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Radiofrequência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Glúteo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Descolamento de fibrose (celulite) + carboxiterapia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Glúteo</w:t>
            </w:r>
          </w:p>
        </w:tc>
        <w:tc>
          <w:tcPr>
            <w:tcW w:type="pct" w:w="33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</w:t>
            </w:r>
          </w:p>
        </w:tc>
      </w:tr>
    </w:tbl>
    <w:p>
      <w:pPr>
        <w:pBdr>
          <w:top w:val="dashed" w:color="999999" w:sz="4"/>
          <w:bottom w:val="dashed" w:color="999999" w:sz="4"/>
          <w:left w:val="dashed" w:color="999999" w:sz="4"/>
          <w:right w:val="dashed" w:color="999999" w:sz="4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[CONFIRMAR datas e configuração dos aparelhos dos procedimentos da Vanessa — conforme anotações do laboratório.]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REGISTRO FOTOGRÁFICO (ANTES E DEPOIS)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imagens a seguir registram o aspecto das regiões tratadas na avaliação inicial e na final, sob mesma posição e iluminação, para fins de comparação.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1 — Paola: braços ANTES (30/04/2026)</w:t>
      </w:r>
    </w:p>
    <w:p>
      <w:pPr>
        <w:pBdr>
          <w:top w:val="dashed" w:color="999999" w:sz="4"/>
          <w:bottom w:val="dashed" w:color="999999" w:sz="4"/>
          <w:left w:val="dashed" w:color="999999" w:sz="4"/>
          <w:right w:val="dashed" w:color="999999" w:sz="4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[INSERIR FOTO — PAOLA BRAÇOS ANTES (30/04/2026)]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2 — Paola: braços DEPOIS (18/06/2026)</w:t>
      </w:r>
    </w:p>
    <w:p>
      <w:pPr>
        <w:pBdr>
          <w:top w:val="dashed" w:color="999999" w:sz="4"/>
          <w:bottom w:val="dashed" w:color="999999" w:sz="4"/>
          <w:left w:val="dashed" w:color="999999" w:sz="4"/>
          <w:right w:val="dashed" w:color="999999" w:sz="4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[INSERIR FOTO — PAOLA BRAÇOS DEPOIS (18/06/2026)]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3 — Vanessa: abdômen ANTES (30/04/2026)</w:t>
      </w:r>
    </w:p>
    <w:p>
      <w:pPr>
        <w:pBdr>
          <w:top w:val="dashed" w:color="999999" w:sz="4"/>
          <w:bottom w:val="dashed" w:color="999999" w:sz="4"/>
          <w:left w:val="dashed" w:color="999999" w:sz="4"/>
          <w:right w:val="dashed" w:color="999999" w:sz="4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[INSERIR FOTO — VANESSA ABDÔMEN ANTES (30/04/2026)]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Figura 4 — Vanessa: abdômen DEPOIS (18/06/2026)</w:t>
      </w:r>
    </w:p>
    <w:p>
      <w:pPr>
        <w:pBdr>
          <w:top w:val="dashed" w:color="999999" w:sz="4"/>
          <w:bottom w:val="dashed" w:color="999999" w:sz="4"/>
          <w:left w:val="dashed" w:color="999999" w:sz="4"/>
          <w:right w:val="dashed" w:color="999999" w:sz="4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[INSERIR FOTO — VANESSA ABDÔMEN DEPOIS (18/06/2026)]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Fonte: arquivo das acadêmicas.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RELATÓRIO DE MEDIDAS (REDUÇÃO DE MEDIDAS)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Paola — braços (radiofrequência)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perimetria dos braços foi realizada na avaliação inicial (30/04/2026) e na final (18/06/2026), após as três sessões de radiofrequência. Os valores, em centímetros, e a variação são apresentados a seguir.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Região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Antes (30/04/2026)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Depois (18/06/2026)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Redução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 direito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33,0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32,5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−0,5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Braço esquerdo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32,5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31,5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−1,0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Redução total (D + E)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−1,5 cm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Observa-se redução das medidas em ambos os braços, mais expressiva à esquerda (−1,0 cm), totalizando 1,5 cm ao longo das três sessões, além de melhora subjetiva da firmeza e da textura da pele — resposta compatível com o estímulo de neocolagênese promovido pela radiofrequência (GUIRRO; GUIRRO, 2010).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Vanessa — abdômen e quadril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medidas de abdômen e quadril da segunda acadêmica, em avaliação inicial (30/04/2026) e final (18/06/2026), são apresentadas no quadro a seguir.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Região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Antes (30/04/2026)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Depois (18/06/2026)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Redução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— 5 cm acima do umbigo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−4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— 10 cm acima do umbigo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— 5 cm abaixo do umbigo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Abdômen — 10 cm abaixo do umbigo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90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−9 cm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Quadril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106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 cm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 cm</w:t>
            </w:r>
          </w:p>
        </w:tc>
      </w:tr>
    </w:tbl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Houve redução consistente nos quatro pontos do abdômen e no quadril (somando aproximadamente 19 cm), compatível com os procedimentos realizados na região. As medidas das coxas e dos braços da segunda acadêmica não foram incluídas no quadro por inconsistência dos registros (valores de coxa aparentemente trocados entre as avaliações) e por ausência de medida inicial comparável do braço; recomenda-se reconferir esses valores nas anotações da aula antes da inclusão.</w:t>
      </w:r>
    </w:p>
    <w:p>
      <w:r>
        <w:br w:type="page"/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AGNE, J. E. Eu sei eletroterapia. Santa Maria: Pallotti, 2009.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BORGES, F. S. Dermato-funcional: modalidades terapêuticas nas disfunções estéticas. 2. ed. rev. e ampl. São Paulo: Phorte, 2010.</w:t>
      </w:r>
    </w:p>
    <w:p>
      <w:pPr>
        <w:spacing w:after="140" w:line="24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GUIRRO, E. C. O.; GUIRRO, R. R. J. Fisioterapia dermato-funcional: fundamentos, recursos, patologias. 3. ed. rev. e ampl. Barueri: Manole, 2010.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2026-06-25T03:22:30.170Z</dcterms:created>
  <dcterms:modified xsi:type="dcterms:W3CDTF">2026-06-25T03:22:30.171Z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