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861C" w14:textId="77777777" w:rsidR="0089318D" w:rsidRDefault="0089318D" w:rsidP="0089318D">
      <w:pPr>
        <w:pStyle w:val="NormalWeb"/>
        <w:spacing w:before="0" w:beforeAutospacing="0" w:after="0" w:afterAutospacing="0" w:line="360" w:lineRule="auto"/>
        <w:ind w:firstLine="360"/>
        <w:jc w:val="both"/>
      </w:pPr>
      <w:r>
        <w:t xml:space="preserve">O protocolo de tratamento proposto estabelece uma abordagem integrativa e com associações para a remodelação corporal, otimização vascular e combate à flacidez tecidual, refletindo diretamente no ganho de funcionalidade e na qualidade de vida da participante. As associações que combinam estímulo mecânico, infusão gasosa e energia focalizada atua em diferentes camadas do tecido de forma complementar ao longo das dez sessões semanais. O protocolo compreende 10 sessões de plataforma vibratória, seguidas de 10 sessões de carboxiterapia, usual de 2000 ml por sessão, 200ml por ponto de aplicação, e 1 sessão de ultrassom focalizado. A realização do uso do procedimento de carboxiterapia fica restrito apenas em região de abdômen pelo risco de hipoxia local e efeito Bohr com acidificação próximo ao pulmão, embora paciente possui liberação medica para tal procedimento descrito. </w:t>
      </w:r>
    </w:p>
    <w:p w14:paraId="072DB585" w14:textId="77777777" w:rsidR="0089318D" w:rsidRDefault="0089318D" w:rsidP="0089318D">
      <w:pPr>
        <w:pStyle w:val="NormalWeb"/>
        <w:spacing w:before="0" w:beforeAutospacing="0" w:after="0" w:afterAutospacing="0" w:line="360" w:lineRule="auto"/>
        <w:ind w:firstLine="360"/>
        <w:jc w:val="both"/>
      </w:pPr>
      <w:r w:rsidRPr="00397E37">
        <w:t>A obesidade e a inflamação funcionam em um ciclo contínuo: quanto maior o acúmulo de gordura, mais inflamado o organismo se encontra. Esse estado inflamatório crônico desregula a ação da insulina. Em condições normais, a insulina se conecta aos receptores das células ativando uma via sinalizadora correta (por tirosina) para colocar a glicose para dentro da célula. No entanto, a inflamação ativa uma proteína chamada IKK-beta, que altera essa sinalização (mudando a conexão para serina) e bloqueia o funcionamento do receptor. Como resultado, o corpo desenvolve resistência à insulina e produz ainda mais hormônio para tentar compensar, alimentando ainda mais o processo inflamatório.</w:t>
      </w:r>
      <w:r>
        <w:t xml:space="preserve"> </w:t>
      </w:r>
      <w:r w:rsidRPr="00397E37">
        <w:t>A mesma proteína IKK-beta</w:t>
      </w:r>
      <w:r>
        <w:t xml:space="preserve"> (</w:t>
      </w:r>
      <w:r w:rsidRPr="00397E37">
        <w:t>inibidor da subunidade beta da quinase do fator nuclear kappa-B</w:t>
      </w:r>
      <w:r>
        <w:t>)</w:t>
      </w:r>
      <w:r w:rsidRPr="00397E37">
        <w:t xml:space="preserve"> ativa o NF-kB</w:t>
      </w:r>
      <w:r>
        <w:t xml:space="preserve"> (</w:t>
      </w:r>
      <w:r w:rsidRPr="00397E37">
        <w:t>(Fator Nuclear Kappa B), um importante "gatilho" no núcleo das células que estimula a produção de mais substâncias inflamadas. É nesse ponto que entram os ácidos graxos ômega-3, especificamente o EPA</w:t>
      </w:r>
      <w:r>
        <w:t xml:space="preserve"> (</w:t>
      </w:r>
      <w:r w:rsidRPr="00397E37">
        <w:t>Ácido Eicosapentaenoico</w:t>
      </w:r>
      <w:r>
        <w:t>)</w:t>
      </w:r>
      <w:r w:rsidRPr="00397E37">
        <w:t xml:space="preserve"> e o DHA</w:t>
      </w:r>
      <w:r>
        <w:t xml:space="preserve"> (</w:t>
      </w:r>
      <w:r w:rsidRPr="00397E37">
        <w:t>Ácido Docosahexaenoico</w:t>
      </w:r>
      <w:r>
        <w:t>)</w:t>
      </w:r>
      <w:r w:rsidRPr="00397E37">
        <w:t>. Eles atuam modulando os receptores nucleares PPAR-gama, o que impede a ativação exagerada desse gatilho inflamatório e ajuda a interromper esse ciclo prejudicial entre a obesidade e a resistência à insulina</w:t>
      </w:r>
      <w:r>
        <w:t xml:space="preserve"> (CARVALHO, 2022). </w:t>
      </w:r>
    </w:p>
    <w:p w14:paraId="7F995E85" w14:textId="77777777" w:rsidR="0089318D" w:rsidRDefault="0089318D" w:rsidP="0089318D">
      <w:pPr>
        <w:pStyle w:val="NormalWeb"/>
        <w:spacing w:before="0" w:beforeAutospacing="0" w:after="0" w:afterAutospacing="0" w:line="360" w:lineRule="auto"/>
        <w:ind w:firstLine="360"/>
        <w:jc w:val="both"/>
      </w:pPr>
      <w:r>
        <w:t xml:space="preserve">A etapa inicial na plataforma vibratória prepara o sistema microvascular ao gerar estresse de cisalhamento endotelial e estimular a liberação de óxido nítrico, o que promove vasodilatação, ativa a drenagem linfática e otimiza o aporte sanguíneo local. Na sequência, a aplicação da carboxiterapia abdominal desencadeia o Efeito Bohr, processo no qual a elevação do dióxido de carbono reduz o pH e a afinidade da hemoglobina pelo oxigênio, forçando uma hiperoxigenação tecidual profunda. Esse efeito, somado à distensão mecânica do gás, atua na quebra do tecido adiposo e na melhora do fluxo micro </w:t>
      </w:r>
      <w:r>
        <w:lastRenderedPageBreak/>
        <w:t>circulatório. Complementando o ciclo, o ultrassom focalizado entrega energia concentrada nas camadas profundas, induzindo a lipólise e estimulando a neocolagênese para a retração e o firmeza da pele (TASSINARY, 2019).</w:t>
      </w:r>
    </w:p>
    <w:p w14:paraId="39CBFECA" w14:textId="77777777" w:rsidR="0089318D" w:rsidRDefault="0089318D" w:rsidP="0089318D">
      <w:pPr>
        <w:pStyle w:val="NormalWeb"/>
        <w:spacing w:before="0" w:beforeAutospacing="0" w:after="0" w:afterAutospacing="0" w:line="360" w:lineRule="auto"/>
        <w:ind w:firstLine="360"/>
        <w:jc w:val="both"/>
      </w:pPr>
      <w:r>
        <w:t xml:space="preserve">Dos resultados parciais se tem uma melhora de redução de medidas via perimetria e via registro fotográfico, um redução de peso e consecutivo melhora de processo inflamatório local, devido a baixa do acumulo de tecido adiposo local, principalmente visceral onde se tem compressão de órgãos, com melhora de circulação e melhora de aporte nutricional tecidual. </w:t>
      </w:r>
    </w:p>
    <w:p w14:paraId="61FA6991" w14:textId="77777777" w:rsidR="0089318D" w:rsidRDefault="0089318D" w:rsidP="0089318D">
      <w:pPr>
        <w:pStyle w:val="NormalWeb"/>
        <w:spacing w:before="0" w:beforeAutospacing="0" w:after="0" w:afterAutospacing="0" w:line="360" w:lineRule="auto"/>
        <w:ind w:firstLine="360"/>
        <w:jc w:val="both"/>
      </w:pPr>
      <w:r>
        <w:t>Os resultados observados e esperados traduzem-se em uma reestruturação metabólica e estética significativa. A redução da gordura localizada e a melhora da composição corporal decorrem da ação conjunta do esvaziamento do adipócito via lipolise e do aumento da perfusão local, enquanto o combate à flacidez se dá pelo remodelamento das fibras de colágeno. Além disso, a otimização do fluxo sanguíneo e o favorecimento da drenagem dos tecidos atenuam o processo inflamatório crônico de baixo grau e aliviam dores locais, proporcionando maior conforto físico, facilidade na execução das tarefas diárias e uma melhora global no bem-estar do paciente. Em contrapartida a</w:t>
      </w:r>
      <w:r w:rsidRPr="00A071C8">
        <w:t xml:space="preserve"> hipóxia é hoje reconhecida por selecionar células mais agressivas e impulsionar a progressão do câncer. A baixa tensão de oxigênio estimula a angiogênese, altera o metabolismo celular para o aumento da glicólise e eleva a resistência à apoptose. Além disso, ela preserva a indiferenciação celular, aumenta a instabilidade genética e induz a transição epitelial, promovendo um fenótipo metastático</w:t>
      </w:r>
      <w:r>
        <w:t xml:space="preserve">,  que se relaciona com a não utilização da carboxiterapia em região dorsal (MOEN, STUHR, 2012).  </w:t>
      </w:r>
    </w:p>
    <w:p w14:paraId="5EB0C5E0" w14:textId="77777777" w:rsidR="0089318D" w:rsidRPr="00186C5E" w:rsidRDefault="0089318D" w:rsidP="0089318D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86C5E">
        <w:rPr>
          <w:rFonts w:ascii="Times New Roman" w:hAnsi="Times New Roman" w:cs="Times New Roman"/>
          <w:sz w:val="24"/>
          <w:szCs w:val="24"/>
        </w:rPr>
        <w:t>A integração entre a redução de gordura corporal, a reeducação alimentar, o Efeito Bohr e o uso da plataforma vibratória oferecem uma perspectiva integrativa e fundamentada para o paciente oncológico. O tecido adiposo em excesso atua como um órgão endócrino secretor de citocinas pró-inflamatórias e abriga a enzima aromatase, responsável pela síntese de estrogênio. Nesse cenário, a mudança de hábitos alimentares focada em uma dieta anti-inflamatória, densa em nutrientes e com controle glicêmico é o pilar primário para reduzir a adiposidade, atenuar a inflamação sistêmica e modular a sinalização hormonal que favorece o crescimento tumoral. Paralelamente, o microambiente tumoral é fortemente impactado pela hipóxia, condição que seleciona células mais agressivas, estimula a angiogênese desordenada e aumenta a resistência aos tratamentos</w:t>
      </w:r>
      <w:r>
        <w:rPr>
          <w:rFonts w:ascii="Times New Roman" w:hAnsi="Times New Roman" w:cs="Times New Roman"/>
          <w:sz w:val="24"/>
          <w:szCs w:val="24"/>
        </w:rPr>
        <w:t xml:space="preserve"> (TASSINARY, SINIGAGLIA, PAVANI, 2024).</w:t>
      </w:r>
    </w:p>
    <w:p w14:paraId="3EA41949" w14:textId="77777777" w:rsidR="0089318D" w:rsidRPr="00186C5E" w:rsidRDefault="0089318D" w:rsidP="0089318D">
      <w:pPr>
        <w:pStyle w:val="NormalWeb"/>
        <w:spacing w:before="0" w:beforeAutospacing="0" w:after="0" w:afterAutospacing="0" w:line="360" w:lineRule="auto"/>
        <w:ind w:firstLine="360"/>
        <w:jc w:val="both"/>
      </w:pPr>
      <w:r w:rsidRPr="00186C5E">
        <w:lastRenderedPageBreak/>
        <w:t>A otimização da entrega de oxigênio tecidual também se beneficia dessa abordagem nutricional combinada à fisiologia vascular. O Efeito Bohr descreve a liberação de oxigênio da hemoglobina em tecidos com maior concentração</w:t>
      </w:r>
      <w:r>
        <w:t xml:space="preserve"> </w:t>
      </w:r>
      <w:r w:rsidRPr="00186C5E">
        <w:t>e menor pH. Embora técnicas como a carboxiterapia utilizem injeções locais para induzir esse efeito, seu uso em oncologia requer cautela extrema pelos riscos de estimular a neovascularização tumoral</w:t>
      </w:r>
      <w:r>
        <w:t xml:space="preserve"> (MOEN, STUHR, 2012).  </w:t>
      </w:r>
    </w:p>
    <w:p w14:paraId="386AE97A" w14:textId="77777777" w:rsidR="0089318D" w:rsidRPr="00186C5E" w:rsidRDefault="0089318D" w:rsidP="0089318D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86C5E">
        <w:rPr>
          <w:rFonts w:ascii="Times New Roman" w:hAnsi="Times New Roman" w:cs="Times New Roman"/>
          <w:sz w:val="24"/>
          <w:szCs w:val="24"/>
        </w:rPr>
        <w:t>Em contrapartida, a plataforma vibratória e o manejo alimentar surgem como alternativas não invasivas e complementares. As oscilações mecânicas da plataforma ativam o cisalhamento endotelial e a liberação de óxido nítrico, promovendo vasodilatação e hiperperfusão tecidual sem trauma estrutural. Esse aumento no fluxo sanguíneo combate a hipóxia e melhora o aporte de nutrientes essenciais obtidos pela alimentação adequada. Por fim, o recrutamento muscular provocado pelas vibrações eleva o gasto metabólico, que, potencializado pela nutrição estratégica, acelera a perda de massa gorda, melhora a sensibilidade à insulina e preserva a massa magra e a densidade óssea durante o tratamento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355">
        <w:rPr>
          <w:rFonts w:ascii="Times New Roman" w:hAnsi="Times New Roman" w:cs="Times New Roman"/>
          <w:sz w:val="24"/>
          <w:szCs w:val="24"/>
        </w:rPr>
        <w:t>(TASSINARY, 2019).</w:t>
      </w:r>
    </w:p>
    <w:p w14:paraId="788BACA2" w14:textId="77777777" w:rsidR="00C07D5C" w:rsidRDefault="00C07D5C"/>
    <w:sectPr w:rsidR="00C07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8D"/>
    <w:rsid w:val="00495F41"/>
    <w:rsid w:val="0089318D"/>
    <w:rsid w:val="00C07D5C"/>
    <w:rsid w:val="00C4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FEE3A"/>
  <w15:chartTrackingRefBased/>
  <w15:docId w15:val="{6AB48783-1288-4659-9CF0-9AC34E24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8D"/>
  </w:style>
  <w:style w:type="paragraph" w:styleId="Ttulo1">
    <w:name w:val="heading 1"/>
    <w:basedOn w:val="Normal"/>
    <w:next w:val="Normal"/>
    <w:link w:val="Ttulo1Char"/>
    <w:uiPriority w:val="9"/>
    <w:qFormat/>
    <w:rsid w:val="0089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31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318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3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31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3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3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31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31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318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318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31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5512</Characters>
  <Application>Microsoft Office Word</Application>
  <DocSecurity>0</DocSecurity>
  <Lines>45</Lines>
  <Paragraphs>13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1</cp:revision>
  <dcterms:created xsi:type="dcterms:W3CDTF">2026-09-17T15:39:00Z</dcterms:created>
  <dcterms:modified xsi:type="dcterms:W3CDTF">2026-09-17T15:39:00Z</dcterms:modified>
</cp:coreProperties>
</file>