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40" w:lineRule="auto"/>
        <w:jc w:val="center"/>
      </w:pPr>
      <w:r>
        <w:rPr>
          <w:b/>
          <w:bCs/>
        </w:rPr>
        <w:t xml:space="preserve">ALOPECIA ANDROGENÉTICA FEMININA E SAÚDE GASTROINTESTINAL: ESTUDO DE CASO DE PROTOCOLO COM FOTOBIOMODULAÇÃO, INTRADERMOTERAPIA E CUIDADO DOMICILIAR</w:t>
      </w:r>
    </w:p>
    <w:p>
      <w:pPr>
        <w:spacing w:line="240" w:lineRule="auto"/>
      </w:pPr>
    </w:p>
    <w:p>
      <w:pPr>
        <w:spacing w:line="240" w:lineRule="auto"/>
        <w:jc w:val="right"/>
      </w:pPr>
      <w:r>
        <w:t xml:space="preserve">LOPES, Paola Bortoli Pinheiro</w:t>
      </w:r>
      <w:r>
        <w:rPr>
          <w:vertAlign w:val="superscript"/>
        </w:rPr>
        <w:footnoteReference w:id="1"/>
      </w:r>
    </w:p>
    <w:p>
      <w:pPr>
        <w:spacing w:line="240" w:lineRule="auto"/>
        <w:jc w:val="right"/>
      </w:pPr>
      <w:r>
        <w:t xml:space="preserve">LIZ, Marcia de</w:t>
      </w:r>
      <w:r>
        <w:rPr>
          <w:vertAlign w:val="superscript"/>
        </w:rPr>
        <w:footnoteReference w:id="2"/>
      </w:r>
    </w:p>
    <w:p>
      <w:pPr>
        <w:spacing w:line="240" w:lineRule="auto"/>
        <w:jc w:val="right"/>
      </w:pPr>
      <w:r>
        <w:t xml:space="preserve">JUSTI, Mariana Macedo</w:t>
      </w:r>
      <w:r>
        <w:rPr>
          <w:vertAlign w:val="superscript"/>
        </w:rPr>
        <w:footnoteReference w:id="3"/>
      </w:r>
    </w:p>
    <w:p>
      <w:pPr>
        <w:spacing w:before="0" w:after="100" w:line="240" w:lineRule="auto"/>
        <w:jc w:val="both"/>
      </w:pPr>
      <w:r>
        <w:rPr>
          <w:b/>
          <w:bCs/>
        </w:rPr>
        <w:t xml:space="preserve">INTRODUÇÃO: </w:t>
      </w:r>
      <w:r>
        <w:rPr/>
        <w:t xml:space="preserve">A alopecia androgenética feminina (AAF) é disfunção capilar crônica, progressiva e multifatorial, marcada pela miniaturização folicular e pela rarefação difusa do topo. Sua progressão pode ser modulada por fatores sistêmicos, como alterações gastrointestinais que comprometem a absorção de ferro, vitamina B12 e zinco. O histórico de </w:t>
      </w:r>
      <w:r>
        <w:rPr>
          <w:i/>
          <w:iCs/>
        </w:rPr>
        <w:t xml:space="preserve">Helicobacter pylori</w:t>
      </w:r>
      <w:r>
        <w:rPr/>
        <w:t xml:space="preserve"> e de gastrite crônica é tratado como fator associado, jamais como causa: a evidência direta que o vincula à queda capilar concentra-se na alopecia areata, autoimune e distinta. </w:t>
      </w:r>
      <w:r>
        <w:rPr>
          <w:b/>
          <w:bCs/>
        </w:rPr>
        <w:t xml:space="preserve">OBJETIVO: </w:t>
      </w:r>
      <w:r>
        <w:rPr/>
        <w:t xml:space="preserve">Descrever os resultados parciais de um protocolo estético com fotobiomodulação, intradermoterapia capilar e cuidado domiciliar, conduzido em paralelo ao acompanhamento médico. </w:t>
      </w:r>
      <w:r>
        <w:rPr>
          <w:b/>
          <w:bCs/>
        </w:rPr>
        <w:t xml:space="preserve">METODOLOGIA: </w:t>
      </w:r>
      <w:r>
        <w:rPr/>
        <w:t xml:space="preserve">Estudo de caso descritivo e qualitativo, em andamento, com paciente nascida em 1964 (60 anos ao início e 61 na reavaliação mais recente), com histórico familiar de calvície, gastrite crônica em tratamento e </w:t>
      </w:r>
      <w:r>
        <w:rPr>
          <w:i/>
          <w:iCs/>
        </w:rPr>
        <w:t xml:space="preserve">H. pylori</w:t>
      </w:r>
      <w:r>
        <w:rPr/>
        <w:t xml:space="preserve"> já erradicado e confirmado por exames; a anamnese identificou ainda relato de estresse psicológico e privação de sono, associados a distúrbios capilares. Usaram-se anamnese capilar, tricoscopia e registro fotográfico padronizado. Linha do tempo: no terceiro semestre, terapia capilar como preparo da pele, com foco em home care; neste ano, piora e nova avaliação; a partir dela, melhora dos hábitos domésticos — higienização e lavagem mais frequentes —, com apoio médico que melhorou o quadro gastrointestinal. O protocolo teve duas fases: desinflamação (aromaterapia, argiloterapia e luz azul) e estímulo (intradermoterapia por pápula, luz vermelha e tônico domiciliar). Seguiu-se a Resolução 466/12 do CNS, com aprovação do Comitê de Ética em Pesquisa da UNIPLAC sob o número 6.603.39 e assinatura do Termo de Consentimento Livre e Esclarecido (TCLE). </w:t>
      </w:r>
      <w:r>
        <w:rPr>
          <w:b/>
          <w:bCs/>
        </w:rPr>
        <w:t xml:space="preserve">RESULTADOS PARCIAIS: </w:t>
      </w:r>
      <w:r>
        <w:rPr/>
        <w:t xml:space="preserve">A desinflamação reduziu hiperemia e oleosidade. Na transição para o estímulo houve piora percebida, e a reavaliação identificou higienização insuficiente e uso irregular do tônico. Após a correção dos hábitos e o apoio médico, registraram-se aumento da microcirculação e novos fios nas áreas rarefeitas, o que motivou estender as sessões. A literatura embasa o achado: a fotobiomodulação eleva o ATP folicular e prolonga a fase anágena (Avci et al., 2014) e a intradermoterapia entrega os ativos no plano dérmico, contornando a absorção gastrointestinal (Uzel et al., 2021). A adesão domiciliar foi o determinante mais evidente. Caso único e protocolo combinado não permitem isolar contribuições nem generalizar: sustenta-se ponte mecanística plausível, sem causalidade.</w:t>
      </w:r>
    </w:p>
    <w:p>
      <w:pPr>
        <w:spacing w:before="0" w:after="100" w:line="240" w:lineRule="auto"/>
        <w:jc w:val="both"/>
      </w:pPr>
      <w:r>
        <w:rPr>
          <w:b/>
          <w:bCs/>
        </w:rPr>
        <w:t xml:space="preserve">Palavras-Chave: </w:t>
      </w:r>
      <w:r>
        <w:rPr/>
        <w:t xml:space="preserve">Alopecia androgenética feminina. Fotobiomodulação. Intradermoterapia capilar. Helicobacter pylori.</w:t>
      </w:r>
    </w:p>
    <w:p>
      <w:pPr>
        <w:spacing w:before="0" w:after="0" w:line="240" w:lineRule="auto"/>
        <w:jc w:val="both"/>
      </w:pPr>
      <w:r>
        <w:rPr>
          <w:b/>
          <w:bCs/>
        </w:rPr>
        <w:t xml:space="preserve">DECLARAÇÃO DE USO DE IAG: </w:t>
      </w:r>
      <w:r>
        <w:rPr/>
        <w:t xml:space="preserve">Os autores declaram o uso da ferramenta Claude (Anthropic) para organização de ideias, revisão linguística e adequação do texto às normas do evento. O conteúdo gerado foi revisado e validado pelos autores, que assumem integral responsabilidade pelo texto submetido.</w:t>
      </w:r>
    </w:p>
    <w:sectPr w:rsidR="0060407D" w:rsidRPr="00576411">
      <w:headerReference w:type="default" r:id="rId6"/>
      <w:pgSz w:w="11909" w:h="16834"/>
      <w:pgMar w:top="0" w:right="1134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EFC8B" w14:textId="77777777" w:rsidR="003B0188" w:rsidRDefault="003B0188">
      <w:pPr>
        <w:spacing w:line="240" w:lineRule="auto"/>
      </w:pPr>
      <w:r>
        <w:separator/>
      </w:r>
    </w:p>
  </w:endnote>
  <w:endnote w:type="continuationSeparator" w:id="0">
    <w:p w14:paraId="59F436EF" w14:textId="77777777" w:rsidR="003B0188" w:rsidRDefault="003B01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D6F960-9F36-4153-A7A5-9649311FEC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63FA55-6EED-4E89-B8C9-6C70A777888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D39AF" w14:textId="77777777" w:rsidR="003B0188" w:rsidRDefault="003B0188">
      <w:pPr>
        <w:spacing w:line="240" w:lineRule="auto"/>
      </w:pPr>
      <w:r>
        <w:separator/>
      </w:r>
    </w:p>
  </w:footnote>
  <w:footnote w:type="continuationSeparator" w:id="0">
    <w:p w14:paraId="3C4B14C3" w14:textId="77777777" w:rsidR="003B0188" w:rsidRDefault="003B0188">
      <w:pPr>
        <w:spacing w:line="240" w:lineRule="auto"/>
      </w:pPr>
      <w:r>
        <w:continuationSeparator/>
      </w:r>
    </w:p>
  </w:footnote>
  <w:footnote w:id="1">
    <w:p>
      <w:pPr>
        <w:spacing w:line="240" w:lineRule="auto"/>
        <w:jc w:val="both"/>
      </w:pPr>
      <w:r>
        <w:rPr>
          <w:vertAlign w:val="superscript"/>
        </w:rPr>
        <w:footnoteRef/>
      </w:r>
      <w:r>
        <w:rPr>
          <w:color w:val="000000"/>
          <w:sz w:val="18"/>
          <w:szCs w:val="18"/>
        </w:rPr>
        <w:t xml:space="preserve"> Universidade do Planalto Catarinense – UNIPLAC. Graduanda em Tecnologia em Estética e Cosmetologia. E-mail: paolabortolilionn@gmail.com, ORCID [a confirmar], Lattes [a confirmar].</w:t>
      </w:r>
    </w:p>
  </w:footnote>
  <w:footnote w:id="2">
    <w:p>
      <w:pPr>
        <w:spacing w:line="240" w:lineRule="auto"/>
        <w:jc w:val="both"/>
      </w:pPr>
      <w:r>
        <w:rPr>
          <w:vertAlign w:val="superscript"/>
        </w:rPr>
        <w:footnoteRef/>
      </w:r>
      <w:r>
        <w:rPr>
          <w:color w:val="000000"/>
          <w:sz w:val="18"/>
          <w:szCs w:val="18"/>
        </w:rPr>
        <w:t xml:space="preserve"> Universidade do Planalto Catarinense – UNIPLAC. Orientadora. Tecnóloga em Cosmetologia e Estética Facial e Corporal pela UNIPLAC. Especialista em Estética e Imagem Corporal e MBA em Tricologia. Coordenadora do Curso de Tecnologia em Estética e Cosmetologia da UNIPLAC. Tricologista. E-mail [a confirmar], ORCID [a confirmar], Lattes: http://lattes.cnpq.br/5077931888781194.</w:t>
      </w:r>
    </w:p>
  </w:footnote>
  <w:footnote w:id="3">
    <w:p>
      <w:pPr>
        <w:spacing w:line="240" w:lineRule="auto"/>
        <w:jc w:val="both"/>
      </w:pPr>
      <w:r>
        <w:rPr>
          <w:vertAlign w:val="superscript"/>
        </w:rPr>
        <w:footnoteRef/>
      </w:r>
      <w:r>
        <w:rPr>
          <w:color w:val="000000"/>
          <w:sz w:val="18"/>
          <w:szCs w:val="18"/>
        </w:rPr>
        <w:t xml:space="preserve"> Universidade do Planalto Catarinense – UNIPLAC. Orientadora. Biomédica e Cosmetóloga Esteta pela UNIPLAC. Especialista em Biomedicina Estética e em Ozonioterapia na Estética. Docente do curso de Tecnologia em Estética e Cosmetologia da UNIPLAC. E-mail [a confirmar], ORCID [a confirmar], Lattes: http://lattes.cnpq.br/5883666144835290.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8D50" w14:textId="77777777" w:rsidR="00B52A0C" w:rsidRDefault="002314E8">
    <w:pPr>
      <w:ind w:left="-1440"/>
    </w:pPr>
    <w:r>
      <w:rPr>
        <w:noProof/>
      </w:rPr>
      <w:drawing>
        <wp:inline distT="114300" distB="114300" distL="114300" distR="114300" wp14:anchorId="5F7A65BD" wp14:editId="759DE2AB">
          <wp:extent cx="7514623" cy="1185863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4623" cy="1185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A0C"/>
    <w:rsid w:val="0016710B"/>
    <w:rsid w:val="001F3671"/>
    <w:rsid w:val="002314E8"/>
    <w:rsid w:val="002C774A"/>
    <w:rsid w:val="003B0188"/>
    <w:rsid w:val="0049366F"/>
    <w:rsid w:val="004C7CD8"/>
    <w:rsid w:val="005664B8"/>
    <w:rsid w:val="00576411"/>
    <w:rsid w:val="0060407D"/>
    <w:rsid w:val="007B174C"/>
    <w:rsid w:val="00991EA8"/>
    <w:rsid w:val="00A52DAE"/>
    <w:rsid w:val="00B524FA"/>
    <w:rsid w:val="00B52A0C"/>
    <w:rsid w:val="00B968EB"/>
    <w:rsid w:val="00C910AF"/>
    <w:rsid w:val="00CD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980E8"/>
  <w15:docId w15:val="{4F35B1D9-20C0-4B36-AF7D-8BB3379B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7B17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174C"/>
  </w:style>
  <w:style w:type="paragraph" w:styleId="Rodap">
    <w:name w:val="footer"/>
    <w:basedOn w:val="Normal"/>
    <w:link w:val="RodapChar"/>
    <w:uiPriority w:val="99"/>
    <w:unhideWhenUsed/>
    <w:rsid w:val="007B17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174C"/>
  </w:style>
  <w:style w:type="character" w:styleId="Hyperlink">
    <w:name w:val="Hyperlink"/>
    <w:basedOn w:val="Fontepargpadro"/>
    <w:uiPriority w:val="99"/>
    <w:unhideWhenUsed/>
    <w:rsid w:val="007B174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1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417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Madalena Pereira da Silva</dc:creator>
  <cp:lastModifiedBy>Madalena Silva</cp:lastModifiedBy>
  <cp:revision>7</cp:revision>
  <dcterms:created xsi:type="dcterms:W3CDTF">2026-08-24T12:32:00Z</dcterms:created>
  <dcterms:modified xsi:type="dcterms:W3CDTF">2026-09-03T22:32:00Z</dcterms:modified>
</cp:coreProperties>
</file>