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ROTEIRO DE ESTUDO — APRESENTAÇÃO DO TCC</w:t>
      </w:r>
    </w:p>
    <w:p>
      <w:pPr>
        <w:spacing w:after="200" w:line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Alopecia Androgenética Feminina — Estudo de caso (laserterapia + intradermoterapia) • 17 slides • ~12–15 min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A TESE EM UMA FRASE (decore)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“A alopecia androgenética feminina é causada pela ação 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DHT</w:t>
      </w:r>
      <w:r>
        <w:rPr>
          <w:rFonts w:ascii="Arial" w:cs="Arial" w:eastAsia="Arial" w:hAnsi="Arial"/>
          <w:sz w:val="22"/>
          <w:szCs w:val="22"/>
        </w:rPr>
        <w:t xml:space="preserve"> sobre folículos geneticamente predispostos, que miniaturiza o fio. A proposta é tratá-la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laserterapia de baixa intensidade (~2 J/cm²)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intradermoterapia (Mescla PHD)</w:t>
      </w:r>
      <w:r>
        <w:rPr>
          <w:rFonts w:ascii="Arial" w:cs="Arial" w:eastAsia="Arial" w:hAnsi="Arial"/>
          <w:sz w:val="22"/>
          <w:szCs w:val="22"/>
        </w:rPr>
        <w:t xml:space="preserve">, em um cronograma de 15/15 dias. Fatores sistêmicos (incluindo o H. pylori, já erradicado) são apenas coadjuvantes.”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NÚMEROS E FATOS PARA DECORAR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DHT: a 5-alfa-redutase tipo 2 converte testosterona em DHT, que encurta a fase anágena e miniaturiza o folículo (relação anágeno/telógeno normal ~12:1).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Genética: poligênica, herdabilidade ~0,81; gene do receptor androgênico no cromossomo X; pai calvo → risco 5–6× maior.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Prevalência (mulher): de ~1,3% (18–29 anos) a ~11,8% (após 70). Classificação: escala de Ludwig (3 graus).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Tricoscopia: o sinal mais confiável é a anisotricose (variação do calibre dos fios); supera o tricograma (72% vs 62%).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Laser: luz vermelha 655–660 nm; resposta bifásica — ~1–2 J/cm² ESTIMULA, ~5 J/cm² INIBE; por isso usamos ~2 J/cm². RCT: +~41,9 fios/cm².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Intradermoterapia (técnica de pápula): 30G, 2–4 mm, ~0,05–0,1 mL/ponto, pápulas a cada 2 cm. Mescla PHD: Minoxidil 8 mg, Nanofatores 1%, Latanoprosta 50 mcg, Pill Food, Lidocaína.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Cronograma: mês 1 = intradermo 1×/semana; depois = a cada 15 dias alternando laser e intradermo; reavaliação a cada 8 semanas.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Ética: CEP-UNIPLAC nº 6.603.39 + TCLE. Referências: 26, todas com link (artigos e livros).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O QUE FALAR EM CADA SLIDE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Capa: </w:t>
      </w:r>
      <w:r>
        <w:rPr>
          <w:rFonts w:ascii="Arial" w:cs="Arial" w:eastAsia="Arial" w:hAnsi="Arial"/>
          <w:sz w:val="22"/>
          <w:szCs w:val="22"/>
        </w:rPr>
        <w:t xml:space="preserve">“Sou a Paola; apresento meu estudo de caso sobre alopecia androgenética feminina.”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Tema e pergunta: </w:t>
      </w:r>
      <w:r>
        <w:rPr>
          <w:rFonts w:ascii="Arial" w:cs="Arial" w:eastAsia="Arial" w:hAnsi="Arial"/>
          <w:sz w:val="22"/>
          <w:szCs w:val="22"/>
        </w:rPr>
        <w:t xml:space="preserve">“Tema: a AAG, a queda mais comum na mulher. Pergunta: como laser de baixa intensidade + intradermoterapia controlam a miniaturização e melhoram a densidade.”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Objetivos: </w:t>
      </w:r>
      <w:r>
        <w:rPr>
          <w:rFonts w:ascii="Arial" w:cs="Arial" w:eastAsia="Arial" w:hAnsi="Arial"/>
          <w:sz w:val="22"/>
          <w:szCs w:val="22"/>
        </w:rPr>
        <w:t xml:space="preserve">“Descrever a fisiopatologia, mostrar o diagnóstico por tricoscopia, fundamentar laser e intradermoterapia e montar um cronograma baseado em evidências.”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Método: </w:t>
      </w:r>
      <w:r>
        <w:rPr>
          <w:rFonts w:ascii="Arial" w:cs="Arial" w:eastAsia="Arial" w:hAnsi="Arial"/>
          <w:sz w:val="22"/>
          <w:szCs w:val="22"/>
        </w:rPr>
        <w:t xml:space="preserve">“Estudo de caso qualitativo, uma paciente de 60 anos; com tricoscopia e foto padronizada; aprovado pelo CEP (nº 6.603.39) e TCLE.”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 que é a AAG: </w:t>
      </w:r>
      <w:r>
        <w:rPr>
          <w:rFonts w:ascii="Arial" w:cs="Arial" w:eastAsia="Arial" w:hAnsi="Arial"/>
          <w:sz w:val="22"/>
          <w:szCs w:val="22"/>
        </w:rPr>
        <w:t xml:space="preserve">“Queda progressiva causada pela DHT em folículos predispostos; na mulher, rarefação no topo, poupando a linha da frente.”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Fisiopatologia (DHT): </w:t>
      </w:r>
      <w:r>
        <w:rPr>
          <w:rFonts w:ascii="Arial" w:cs="Arial" w:eastAsia="Arial" w:hAnsi="Arial"/>
          <w:sz w:val="22"/>
          <w:szCs w:val="22"/>
        </w:rPr>
        <w:t xml:space="preserve">“A 5-alfa-redutase tipo 2 transforma testosterona em DHT; a DHT encurta a fase de crescimento e afina o fio.”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Escala de Ludwig: </w:t>
      </w:r>
      <w:r>
        <w:rPr>
          <w:rFonts w:ascii="Arial" w:cs="Arial" w:eastAsia="Arial" w:hAnsi="Arial"/>
          <w:sz w:val="22"/>
          <w:szCs w:val="22"/>
        </w:rPr>
        <w:t xml:space="preserve">“Padrão feminino, 3 graus de gravidade (Ludwig); herança poligênica, gene no cromossomo X.”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Tricoscopia: </w:t>
      </w:r>
      <w:r>
        <w:rPr>
          <w:rFonts w:ascii="Arial" w:cs="Arial" w:eastAsia="Arial" w:hAnsi="Arial"/>
          <w:sz w:val="22"/>
          <w:szCs w:val="22"/>
        </w:rPr>
        <w:t xml:space="preserve">“Exame de eleição; o sinal mais confiável é a anisotricose — fios de calibres diferentes; supera o tricograma.”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Fatores sistêmicos: </w:t>
      </w:r>
      <w:r>
        <w:rPr>
          <w:rFonts w:ascii="Arial" w:cs="Arial" w:eastAsia="Arial" w:hAnsi="Arial"/>
          <w:sz w:val="22"/>
          <w:szCs w:val="22"/>
        </w:rPr>
        <w:t xml:space="preserve">“A AAG é genético-hormonal; estresse oxidativo e ferritina baixa modulam; o H. pylori (já erradicado) é apenas coadjuvante.”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Laserterapia (LLLT): </w:t>
      </w:r>
      <w:r>
        <w:rPr>
          <w:rFonts w:ascii="Arial" w:cs="Arial" w:eastAsia="Arial" w:hAnsi="Arial"/>
          <w:sz w:val="22"/>
          <w:szCs w:val="22"/>
        </w:rPr>
        <w:t xml:space="preserve">“Fotobiomodulação: aumenta o ATP, melhora a circulação e prolonga o crescimento; luz vermelha 655–660 nm. Substitui as microcorrentes.”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Por que 2 J/cm²: </w:t>
      </w:r>
      <w:r>
        <w:rPr>
          <w:rFonts w:ascii="Arial" w:cs="Arial" w:eastAsia="Arial" w:hAnsi="Arial"/>
          <w:sz w:val="22"/>
          <w:szCs w:val="22"/>
        </w:rPr>
        <w:t xml:space="preserve">“Resposta bifásica: dose baixa (~1–2 J/cm²) estimula, dose alta (~5) inibe; por isso usamos ~2 J/cm².”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Intradermoterapia (PHD): </w:t>
      </w:r>
      <w:r>
        <w:rPr>
          <w:rFonts w:ascii="Arial" w:cs="Arial" w:eastAsia="Arial" w:hAnsi="Arial"/>
          <w:sz w:val="22"/>
          <w:szCs w:val="22"/>
        </w:rPr>
        <w:t xml:space="preserve">“Microinjeções em pápulas a cada 2 cm; a Mescla PHD tem minoxidil, fatores de crescimento, latanoprosta e vitaminas; em casa, Capilia Longa.”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Apresentação do caso: </w:t>
      </w:r>
      <w:r>
        <w:rPr>
          <w:rFonts w:ascii="Arial" w:cs="Arial" w:eastAsia="Arial" w:hAnsi="Arial"/>
          <w:sz w:val="22"/>
          <w:szCs w:val="22"/>
        </w:rPr>
        <w:t xml:space="preserve">“Paciente de 60 anos, pai calvo, H. pylori erradicada; tricoscopia compatível com AAG.”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Cronograma (15/15): </w:t>
      </w:r>
      <w:r>
        <w:rPr>
          <w:rFonts w:ascii="Arial" w:cs="Arial" w:eastAsia="Arial" w:hAnsi="Arial"/>
          <w:sz w:val="22"/>
          <w:szCs w:val="22"/>
        </w:rPr>
        <w:t xml:space="preserve">“Mês 1: intradermo 1×/semana. Depois: a cada 15 dias, alternando laser e intradermo. Reavaliação a cada 8 semanas.”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Execução e segurança: </w:t>
      </w:r>
      <w:r>
        <w:rPr>
          <w:rFonts w:ascii="Arial" w:cs="Arial" w:eastAsia="Arial" w:hAnsi="Arial"/>
          <w:sz w:val="22"/>
          <w:szCs w:val="22"/>
        </w:rPr>
        <w:t xml:space="preserve">“Fiz 3 das 4 sessões do mês 1 — a 4ª foi suspensa por um desmaio (reação vasovagal, comum a injeções, sem relação com os ativos). Combinar laser e intradermo não é excesso: o excesso é da DOSE do laser, não da soma de técnicas.”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Discussão e conclusão: </w:t>
      </w:r>
      <w:r>
        <w:rPr>
          <w:rFonts w:ascii="Arial" w:cs="Arial" w:eastAsia="Arial" w:hAnsi="Arial"/>
          <w:sz w:val="22"/>
          <w:szCs w:val="22"/>
        </w:rPr>
        <w:t xml:space="preserve">“A AAG é genético-hormonal; laser + intradermoterapia têm respaldo em ensaios clínicos; proposta segura, individualizada e baseada em evidências.”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Referências: </w:t>
      </w:r>
      <w:r>
        <w:rPr>
          <w:rFonts w:ascii="Arial" w:cs="Arial" w:eastAsia="Arial" w:hAnsi="Arial"/>
          <w:sz w:val="22"/>
          <w:szCs w:val="22"/>
        </w:rPr>
        <w:t xml:space="preserve">“26 referências reais, com link — artigos e livros de tricologia/dermatologia.”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SE A BANCA PERGUNTAR (resposta curta)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que trocaram as microcorrentes pelo laser?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Porque a laserterapia de baixa intensidade (fotobiomodulação) tem respaldo em ensaios clínicos randomizados para a AAG (Yoon, 2020; Sondagar, 2023) e é aprovada para essa indicação.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que a dose de 2 J/cm²?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Pela resposta bifásica: doses baixas (~1–2 J/cm²) estimulam o folículo e doses altas (~5 J/cm²) inibem (Avci et al., 2014; Pillai e Mysore, 2022). Por isso ficamos na janela baixa.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H. pylori não é o foco do trabalho?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Não. A AAG é primariamente genético-hormonal. O H. pylori já foi erradicado e entra só como coadjuvante, por poder contribuir para deficiências nutricionais.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Combinar laser e intradermoterapia no mesmo período não é excesso de estímulo?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Não. O ‘excesso’ na fotobiomodulação refere-se à DOSE do laser (resposta bifásica), não à soma de técnicas, que agem por mecanismos diferentes. Kaiser et al. (2022) mostram combinação pelo menos equivalente à monoterapia e sem efeitos adversos.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foi o desmaio da paciente?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Uma reação vasovagal — reflexo benigno comum a procedimentos com agulha, ligado à dor/ansiedade, sem relação com os ativos. Conduta: aplicar com a paciente deitada, hidratada e monitorada.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Como foi feito o diagnóstico?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Por tricoscopia: anisotricose (variação do calibre dos fios) e miniaturização — sinais compatíveis com AAG (Kuczara et al., 2024; Galliker e Trüeb, 2012).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é a Mescla PHD?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Mistura para intradermoterapia: minoxidil 8 mg, nanofatores de crescimento, latanoprosta e vitaminas (Pill Food), com lidocaína para conforto.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que servem os exames anexados?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São comprovação de que foram realizados pela paciente (com TCLE). O conteúdo deles não é objeto de análise do trabalho, cujo foco é a abordagem estética da AAG.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 referências são confiáveis?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Sim: 26 referências reais, em bases acadêmicas (PubMed/PMC, periódicos) e livros-texto, todas com link e autoria citada no texto.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6FB2"/>
          <w:sz w:val="26"/>
          <w:szCs w:val="26"/>
        </w:rPr>
        <w:t xml:space="preserve">NÃO ESQUECER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Foco é a ALOPECIA ANDROGENÉTICA; o H. pylori é só coadjuvante (já erradicado).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laser, o que importa é a DOSE (bifásica) — ~2 J/cm² estimula.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Sempre cite o autor (ex.: ‘segundo Avci et al., 2014…’).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Os exames são comprovação — não se analisa o conteúdo.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Fale com calma; domine os slides 9, 10, 11 e 15 (foco, laser, dose e segurança).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2026-06-22T02:02:27.181Z</dcterms:created>
  <dcterms:modified xsi:type="dcterms:W3CDTF">2026-06-22T02:02:27.184Z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