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política-de-privacidade-boost-research"/>
    <w:p>
      <w:pPr>
        <w:pStyle w:val="Heading1"/>
      </w:pPr>
      <w:r>
        <w:t xml:space="preserve">Política de Privacidade — Boost Research</w:t>
      </w:r>
    </w:p>
    <w:p>
      <w:pPr>
        <w:pStyle w:val="FirstParagraph"/>
      </w:pPr>
      <w:r>
        <w:rPr>
          <w:b/>
          <w:bCs/>
        </w:rPr>
        <w:t xml:space="preserve">Última atualização:</w:t>
      </w:r>
      <w:r>
        <w:t xml:space="preserve"> </w:t>
      </w:r>
      <w:r>
        <w:t xml:space="preserve">23 de abril de 2026</w:t>
      </w:r>
    </w:p>
    <w:p>
      <w:pPr>
        <w:pStyle w:val="BodyText"/>
      </w:pPr>
      <w:r>
        <w:t xml:space="preserve">A</w:t>
      </w:r>
      <w:r>
        <w:t xml:space="preserve"> </w:t>
      </w:r>
      <w:r>
        <w:rPr>
          <w:b/>
          <w:bCs/>
        </w:rPr>
        <w:t xml:space="preserve">Boost Research</w:t>
      </w:r>
      <w:r>
        <w:t xml:space="preserve">, nome fantasia de</w:t>
      </w:r>
      <w:r>
        <w:t xml:space="preserve"> </w:t>
      </w:r>
      <w:r>
        <w:rPr>
          <w:b/>
          <w:bCs/>
        </w:rPr>
        <w:t xml:space="preserve">ANDRE LUIS FRANCO DE ARAUJO APOIO ADMINISTRATIVO LTDA</w:t>
      </w:r>
      <w:r>
        <w:t xml:space="preserve">, inscrita no CNPJ sob o nº 51.476.713/0001-67, com sede na Avenida Marcos Penteado de Ulhoa Rodrigues, 939, oitavo andar, torre Jacarandá, CEP 06460-040, Barueri/SP (</w:t>
      </w:r>
      <w:r>
        <w:t xml:space="preserve">“nós”</w:t>
      </w:r>
      <w:r>
        <w:t xml:space="preserve">,</w:t>
      </w:r>
      <w:r>
        <w:t xml:space="preserve"> </w:t>
      </w:r>
      <w:r>
        <w:t xml:space="preserve">“nosso”</w:t>
      </w:r>
      <w:r>
        <w:t xml:space="preserve"> </w:t>
      </w:r>
      <w:r>
        <w:t xml:space="preserve">ou</w:t>
      </w:r>
      <w:r>
        <w:t xml:space="preserve"> </w:t>
      </w:r>
      <w:r>
        <w:t xml:space="preserve">“Boost”</w:t>
      </w:r>
      <w:r>
        <w:t xml:space="preserve">), é a controladora dos dados pessoais tratados conforme descrito nesta Política de Privacidade.</w:t>
      </w:r>
    </w:p>
    <w:p>
      <w:pPr>
        <w:pStyle w:val="BodyText"/>
      </w:pPr>
      <w:r>
        <w:t xml:space="preserve">Esta política descreve como coletamos, usamos, armazenamos e protegemos seus dados pessoais quando você acessa nossos sites, landing pages, formulários e demais canais digitais, em conformidade com a Lei Geral de Proteção de Dados Pessoais (LGPD — Lei nº 13.709/2018).</w:t>
      </w:r>
    </w:p>
    <w:p>
      <w:r>
        <w:pict>
          <v:rect style="width:0;height:1.5pt" o:hralign="center" o:hrstd="t" o:hr="t"/>
        </w:pict>
      </w:r>
    </w:p>
    <w:bookmarkStart w:id="11" w:name="dados-pessoais-que-coletamos"/>
    <w:p>
      <w:pPr>
        <w:pStyle w:val="Heading2"/>
      </w:pPr>
      <w:r>
        <w:t xml:space="preserve">1. Dados pessoais que coletamos</w:t>
      </w:r>
    </w:p>
    <w:bookmarkStart w:id="9" w:name="dados-fornecidos-por-você"/>
    <w:p>
      <w:pPr>
        <w:pStyle w:val="Heading3"/>
      </w:pPr>
      <w:r>
        <w:t xml:space="preserve">1.1 Dados fornecidos por você</w:t>
      </w:r>
    </w:p>
    <w:p>
      <w:pPr>
        <w:pStyle w:val="FirstParagraph"/>
      </w:pPr>
      <w:r>
        <w:t xml:space="preserve">Quando você preenche formulários em nossas páginas ou interage com nossos canais, podemos coletar:</w:t>
      </w:r>
    </w:p>
    <w:p>
      <w:pPr>
        <w:pStyle w:val="Compact"/>
        <w:numPr>
          <w:ilvl w:val="0"/>
          <w:numId w:val="1001"/>
        </w:numPr>
      </w:pPr>
      <w:r>
        <w:rPr>
          <w:b/>
          <w:bCs/>
        </w:rPr>
        <w:t xml:space="preserve">Dados de identificação:</w:t>
      </w:r>
      <w:r>
        <w:t xml:space="preserve"> </w:t>
      </w:r>
      <w:r>
        <w:t xml:space="preserve">nome completo, e-mail e telefone/WhatsApp</w:t>
      </w:r>
    </w:p>
    <w:p>
      <w:pPr>
        <w:pStyle w:val="Compact"/>
        <w:numPr>
          <w:ilvl w:val="0"/>
          <w:numId w:val="1001"/>
        </w:numPr>
      </w:pPr>
      <w:r>
        <w:rPr>
          <w:b/>
          <w:bCs/>
        </w:rPr>
        <w:t xml:space="preserve">Dados profissionais:</w:t>
      </w:r>
      <w:r>
        <w:t xml:space="preserve"> </w:t>
      </w:r>
      <w:r>
        <w:t xml:space="preserve">cargo, empresa, segmento de atuação</w:t>
      </w:r>
    </w:p>
    <w:p>
      <w:pPr>
        <w:pStyle w:val="Compact"/>
        <w:numPr>
          <w:ilvl w:val="0"/>
          <w:numId w:val="1001"/>
        </w:numPr>
      </w:pPr>
      <w:r>
        <w:rPr>
          <w:b/>
          <w:bCs/>
        </w:rPr>
        <w:t xml:space="preserve">Dados financeiros declarados:</w:t>
      </w:r>
      <w:r>
        <w:t xml:space="preserve"> </w:t>
      </w:r>
      <w:r>
        <w:t xml:space="preserve">faixa de patrimônio investido, perfil de investidor, experiência com mercado de criptoativos e mercado tradicional</w:t>
      </w:r>
    </w:p>
    <w:p>
      <w:pPr>
        <w:pStyle w:val="Compact"/>
        <w:numPr>
          <w:ilvl w:val="0"/>
          <w:numId w:val="1001"/>
        </w:numPr>
      </w:pPr>
      <w:r>
        <w:rPr>
          <w:b/>
          <w:bCs/>
        </w:rPr>
        <w:t xml:space="preserve">Dados de comunicação:</w:t>
      </w:r>
      <w:r>
        <w:t xml:space="preserve"> </w:t>
      </w:r>
      <w:r>
        <w:t xml:space="preserve">mensagens enviadas por formulários, WhatsApp ou e-mail</w:t>
      </w:r>
    </w:p>
    <w:bookmarkEnd w:id="9"/>
    <w:bookmarkStart w:id="10" w:name="dados-coletados-automaticamente"/>
    <w:p>
      <w:pPr>
        <w:pStyle w:val="Heading3"/>
      </w:pPr>
      <w:r>
        <w:t xml:space="preserve">1.2 Dados coletados automaticamente</w:t>
      </w:r>
    </w:p>
    <w:p>
      <w:pPr>
        <w:pStyle w:val="FirstParagraph"/>
      </w:pPr>
      <w:r>
        <w:t xml:space="preserve">Ao navegar em nossos sites, coletamos automaticamente:</w:t>
      </w:r>
    </w:p>
    <w:p>
      <w:pPr>
        <w:pStyle w:val="Compact"/>
        <w:numPr>
          <w:ilvl w:val="0"/>
          <w:numId w:val="1002"/>
        </w:numPr>
      </w:pPr>
      <w:r>
        <w:rPr>
          <w:b/>
          <w:bCs/>
        </w:rPr>
        <w:t xml:space="preserve">Dados de navegação:</w:t>
      </w:r>
      <w:r>
        <w:t xml:space="preserve"> </w:t>
      </w:r>
      <w:r>
        <w:t xml:space="preserve">endereço IP, tipo de navegador, sistema operacional, páginas visitadas, tempo de permanência, URLs de origem e destino</w:t>
      </w:r>
    </w:p>
    <w:p>
      <w:pPr>
        <w:pStyle w:val="Compact"/>
        <w:numPr>
          <w:ilvl w:val="0"/>
          <w:numId w:val="1002"/>
        </w:numPr>
      </w:pPr>
      <w:r>
        <w:rPr>
          <w:b/>
          <w:bCs/>
        </w:rPr>
        <w:t xml:space="preserve">Cookies e tecnologias similares:</w:t>
      </w:r>
      <w:r>
        <w:t xml:space="preserve"> </w:t>
      </w:r>
      <w:r>
        <w:t xml:space="preserve">identificadores de sessão, cookies de preferência e cookies de desempenho (veja a Seção 7)</w:t>
      </w:r>
    </w:p>
    <w:p>
      <w:pPr>
        <w:pStyle w:val="Compact"/>
        <w:numPr>
          <w:ilvl w:val="0"/>
          <w:numId w:val="1002"/>
        </w:numPr>
      </w:pPr>
      <w:r>
        <w:rPr>
          <w:b/>
          <w:bCs/>
        </w:rPr>
        <w:t xml:space="preserve">Dados de campanhas:</w:t>
      </w:r>
      <w:r>
        <w:t xml:space="preserve"> </w:t>
      </w:r>
      <w:r>
        <w:t xml:space="preserve">parâmetros UTM (origem, mídia, campanha, conteúdo), identificadores de clique (fbclid, gclid, li_fat_id) e dados de atribuição de anúncios</w:t>
      </w:r>
    </w:p>
    <w:p>
      <w:r>
        <w:pict>
          <v:rect style="width:0;height:1.5pt" o:hralign="center" o:hrstd="t" o:hr="t"/>
        </w:pict>
      </w:r>
    </w:p>
    <w:bookmarkEnd w:id="10"/>
    <w:bookmarkEnd w:id="11"/>
    <w:bookmarkStart w:id="12" w:name="finalidades-do-tratamento"/>
    <w:p>
      <w:pPr>
        <w:pStyle w:val="Heading2"/>
      </w:pPr>
      <w:r>
        <w:t xml:space="preserve">2. Finalidades do tratamento</w:t>
      </w:r>
    </w:p>
    <w:p>
      <w:pPr>
        <w:pStyle w:val="FirstParagraph"/>
      </w:pPr>
      <w:r>
        <w:t xml:space="preserve">Utilizamos seus dados pessoais para as seguintes finalidades: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Finalidade</w:t>
            </w:r>
          </w:p>
        </w:tc>
        <w:tc>
          <w:tcPr/>
          <w:p>
            <w:pPr>
              <w:pStyle w:val="Compact"/>
            </w:pPr>
            <w:r>
              <w:t xml:space="preserve">Base legal (LGPD)</w:t>
            </w:r>
          </w:p>
        </w:tc>
      </w:tr>
      <w:tr>
        <w:tc>
          <w:tcPr/>
          <w:p>
            <w:pPr>
              <w:pStyle w:val="Compact"/>
            </w:pPr>
            <w:r>
              <w:t xml:space="preserve">Enviar análises, relatórios e conteúdos solicitados</w:t>
            </w:r>
          </w:p>
        </w:tc>
        <w:tc>
          <w:tcPr/>
          <w:p>
            <w:pPr>
              <w:pStyle w:val="Compact"/>
            </w:pPr>
            <w:r>
              <w:t xml:space="preserve">Consentimento (Art. 7º, I)</w:t>
            </w:r>
          </w:p>
        </w:tc>
      </w:tr>
      <w:tr>
        <w:tc>
          <w:tcPr/>
          <w:p>
            <w:pPr>
              <w:pStyle w:val="Compact"/>
            </w:pPr>
            <w:r>
              <w:t xml:space="preserve">Entrar em contato sobre nossos serviços de análise</w:t>
            </w:r>
          </w:p>
        </w:tc>
        <w:tc>
          <w:tcPr/>
          <w:p>
            <w:pPr>
              <w:pStyle w:val="Compact"/>
            </w:pPr>
            <w:r>
              <w:t xml:space="preserve">Legítimo interesse (Art. 7º, IX)</w:t>
            </w:r>
          </w:p>
        </w:tc>
      </w:tr>
      <w:tr>
        <w:tc>
          <w:tcPr/>
          <w:p>
            <w:pPr>
              <w:pStyle w:val="Compact"/>
            </w:pPr>
            <w:r>
              <w:t xml:space="preserve">Personalizar sua experiência em nossos canais</w:t>
            </w:r>
          </w:p>
        </w:tc>
        <w:tc>
          <w:tcPr/>
          <w:p>
            <w:pPr>
              <w:pStyle w:val="Compact"/>
            </w:pPr>
            <w:r>
              <w:t xml:space="preserve">Legítimo interesse (Art. 7º, IX)</w:t>
            </w:r>
          </w:p>
        </w:tc>
      </w:tr>
      <w:tr>
        <w:tc>
          <w:tcPr/>
          <w:p>
            <w:pPr>
              <w:pStyle w:val="Compact"/>
            </w:pPr>
            <w:r>
              <w:t xml:space="preserve">Mensurar a eficácia de campanhas publicitárias</w:t>
            </w:r>
          </w:p>
        </w:tc>
        <w:tc>
          <w:tcPr/>
          <w:p>
            <w:pPr>
              <w:pStyle w:val="Compact"/>
            </w:pPr>
            <w:r>
              <w:t xml:space="preserve">Legítimo interesse (Art. 7º, IX)</w:t>
            </w:r>
          </w:p>
        </w:tc>
      </w:tr>
      <w:tr>
        <w:tc>
          <w:tcPr/>
          <w:p>
            <w:pPr>
              <w:pStyle w:val="Compact"/>
            </w:pPr>
            <w:r>
              <w:t xml:space="preserve">Segmentar audiências para anúncios relevantes</w:t>
            </w:r>
          </w:p>
        </w:tc>
        <w:tc>
          <w:tcPr/>
          <w:p>
            <w:pPr>
              <w:pStyle w:val="Compact"/>
            </w:pPr>
            <w:r>
              <w:t xml:space="preserve">Consentimento (Art. 7º, I)</w:t>
            </w:r>
          </w:p>
        </w:tc>
      </w:tr>
      <w:tr>
        <w:tc>
          <w:tcPr/>
          <w:p>
            <w:pPr>
              <w:pStyle w:val="Compact"/>
            </w:pPr>
            <w:r>
              <w:t xml:space="preserve">Cumprir obrigações legais e regulatórias</w:t>
            </w:r>
          </w:p>
        </w:tc>
        <w:tc>
          <w:tcPr/>
          <w:p>
            <w:pPr>
              <w:pStyle w:val="Compact"/>
            </w:pPr>
            <w:r>
              <w:t xml:space="preserve">Cumprimento de obrigação legal (Art. 7º, II)</w:t>
            </w:r>
          </w:p>
        </w:tc>
      </w:tr>
      <w:tr>
        <w:tc>
          <w:tcPr/>
          <w:p>
            <w:pPr>
              <w:pStyle w:val="Compact"/>
            </w:pPr>
            <w:r>
              <w:t xml:space="preserve">Prevenir fraudes e garantir a segurança dos sistemas</w:t>
            </w:r>
          </w:p>
        </w:tc>
        <w:tc>
          <w:tcPr/>
          <w:p>
            <w:pPr>
              <w:pStyle w:val="Compact"/>
            </w:pPr>
            <w:r>
              <w:t xml:space="preserve">Legítimo interesse (Art. 7º, IX)</w:t>
            </w:r>
          </w:p>
        </w:tc>
      </w:tr>
    </w:tbl>
    <w:p>
      <w:r>
        <w:pict>
          <v:rect style="width:0;height:1.5pt" o:hralign="center" o:hrstd="t" o:hr="t"/>
        </w:pict>
      </w:r>
    </w:p>
    <w:bookmarkEnd w:id="12"/>
    <w:bookmarkStart w:id="13" w:name="compartilhamento-de-dados"/>
    <w:p>
      <w:pPr>
        <w:pStyle w:val="Heading2"/>
      </w:pPr>
      <w:r>
        <w:t xml:space="preserve">3. Compartilhamento de dados</w:t>
      </w:r>
    </w:p>
    <w:p>
      <w:pPr>
        <w:pStyle w:val="FirstParagraph"/>
      </w:pPr>
      <w:r>
        <w:t xml:space="preserve">Podemos compartilhar seus dados pessoais com:</w:t>
      </w:r>
    </w:p>
    <w:p>
      <w:pPr>
        <w:pStyle w:val="Compact"/>
        <w:numPr>
          <w:ilvl w:val="0"/>
          <w:numId w:val="1003"/>
        </w:numPr>
      </w:pPr>
      <w:r>
        <w:rPr>
          <w:b/>
          <w:bCs/>
        </w:rPr>
        <w:t xml:space="preserve">Plataformas de CRM e automação de marketing:</w:t>
      </w:r>
      <w:r>
        <w:t xml:space="preserve"> </w:t>
      </w:r>
      <w:r>
        <w:t xml:space="preserve">para gerenciar nosso relacionamento com você e enviar comunicações relevantes</w:t>
      </w:r>
    </w:p>
    <w:p>
      <w:pPr>
        <w:pStyle w:val="Compact"/>
        <w:numPr>
          <w:ilvl w:val="0"/>
          <w:numId w:val="1003"/>
        </w:numPr>
      </w:pPr>
      <w:r>
        <w:rPr>
          <w:b/>
          <w:bCs/>
        </w:rPr>
        <w:t xml:space="preserve">Plataformas de publicidade digital:</w:t>
      </w:r>
      <w:r>
        <w:t xml:space="preserve"> </w:t>
      </w:r>
      <w:r>
        <w:t xml:space="preserve">para mensuração de conversões e otimização de campanhas, utilizando técnicas de hash (SHA-256) que anonimizam seus dados antes do envio</w:t>
      </w:r>
    </w:p>
    <w:p>
      <w:pPr>
        <w:pStyle w:val="Compact"/>
        <w:numPr>
          <w:ilvl w:val="0"/>
          <w:numId w:val="1003"/>
        </w:numPr>
      </w:pPr>
      <w:r>
        <w:rPr>
          <w:b/>
          <w:bCs/>
        </w:rPr>
        <w:t xml:space="preserve">Plataformas de análise de dados:</w:t>
      </w:r>
      <w:r>
        <w:t xml:space="preserve"> </w:t>
      </w:r>
      <w:r>
        <w:t xml:space="preserve">para compreender o comportamento de navegação e melhorar nossos serviços</w:t>
      </w:r>
    </w:p>
    <w:p>
      <w:pPr>
        <w:pStyle w:val="Compact"/>
        <w:numPr>
          <w:ilvl w:val="0"/>
          <w:numId w:val="1003"/>
        </w:numPr>
      </w:pPr>
      <w:r>
        <w:rPr>
          <w:b/>
          <w:bCs/>
        </w:rPr>
        <w:t xml:space="preserve">Prestadores de serviços de hospedagem e infraestrutura:</w:t>
      </w:r>
      <w:r>
        <w:t xml:space="preserve"> </w:t>
      </w:r>
      <w:r>
        <w:t xml:space="preserve">para manter nossos sites e sistemas em funcionamento</w:t>
      </w:r>
    </w:p>
    <w:p>
      <w:pPr>
        <w:pStyle w:val="FirstParagraph"/>
      </w:pPr>
      <w:r>
        <w:rPr>
          <w:b/>
          <w:bCs/>
        </w:rPr>
        <w:t xml:space="preserve">Não vendemos, alugamos ou comercializamos seus dados pessoais com terceiros para finalidades próprias deles.</w:t>
      </w:r>
    </w:p>
    <w:p>
      <w:pPr>
        <w:pStyle w:val="BodyText"/>
      </w:pPr>
      <w:r>
        <w:t xml:space="preserve">Todos os parceiros e prestadores de serviço estão vinculados a obrigações contratuais de confidencialidade e proteção de dados.</w:t>
      </w:r>
    </w:p>
    <w:p>
      <w:r>
        <w:pict>
          <v:rect style="width:0;height:1.5pt" o:hralign="center" o:hrstd="t" o:hr="t"/>
        </w:pict>
      </w:r>
    </w:p>
    <w:bookmarkEnd w:id="13"/>
    <w:bookmarkStart w:id="14" w:name="transferência-internacional-de-dados"/>
    <w:p>
      <w:pPr>
        <w:pStyle w:val="Heading2"/>
      </w:pPr>
      <w:r>
        <w:t xml:space="preserve">4. Transferência internacional de dados</w:t>
      </w:r>
    </w:p>
    <w:p>
      <w:pPr>
        <w:pStyle w:val="FirstParagraph"/>
      </w:pPr>
      <w:r>
        <w:t xml:space="preserve">Alguns dos serviços que utilizamos podem armazenar ou processar dados fora do Brasil. Nesses casos, garantimos que as transferências ocorram para países com nível adequado de proteção ou mediante cláusulas contratuais padrão, conforme previsto na LGPD.</w:t>
      </w:r>
    </w:p>
    <w:p>
      <w:r>
        <w:pict>
          <v:rect style="width:0;height:1.5pt" o:hralign="center" o:hrstd="t" o:hr="t"/>
        </w:pict>
      </w:r>
    </w:p>
    <w:bookmarkEnd w:id="14"/>
    <w:bookmarkStart w:id="15" w:name="retenção-de-dados"/>
    <w:p>
      <w:pPr>
        <w:pStyle w:val="Heading2"/>
      </w:pPr>
      <w:r>
        <w:t xml:space="preserve">5. Retenção de dados</w:t>
      </w:r>
    </w:p>
    <w:p>
      <w:pPr>
        <w:pStyle w:val="FirstParagraph"/>
      </w:pPr>
      <w:r>
        <w:t xml:space="preserve">Armazenamos seus dados pessoais pelo tempo necessário para cumprir as finalidades descritas nesta política, observando os seguintes critérios:</w:t>
      </w:r>
    </w:p>
    <w:p>
      <w:pPr>
        <w:pStyle w:val="Compact"/>
        <w:numPr>
          <w:ilvl w:val="0"/>
          <w:numId w:val="1004"/>
        </w:numPr>
      </w:pPr>
      <w:r>
        <w:rPr>
          <w:b/>
          <w:bCs/>
        </w:rPr>
        <w:t xml:space="preserve">Dados de leads e contatos:</w:t>
      </w:r>
      <w:r>
        <w:t xml:space="preserve"> </w:t>
      </w:r>
      <w:r>
        <w:t xml:space="preserve">mantidos enquanto houver relacionamento ativo ou legítimo interesse, e por até 5 (cinco) anos após o último contato</w:t>
      </w:r>
    </w:p>
    <w:p>
      <w:pPr>
        <w:pStyle w:val="Compact"/>
        <w:numPr>
          <w:ilvl w:val="0"/>
          <w:numId w:val="1004"/>
        </w:numPr>
      </w:pPr>
      <w:r>
        <w:rPr>
          <w:b/>
          <w:bCs/>
        </w:rPr>
        <w:t xml:space="preserve">Dados de navegação e cookies:</w:t>
      </w:r>
      <w:r>
        <w:t xml:space="preserve"> </w:t>
      </w:r>
      <w:r>
        <w:t xml:space="preserve">até 12 (doze) meses a partir da coleta</w:t>
      </w:r>
    </w:p>
    <w:p>
      <w:pPr>
        <w:pStyle w:val="Compact"/>
        <w:numPr>
          <w:ilvl w:val="0"/>
          <w:numId w:val="1004"/>
        </w:numPr>
      </w:pPr>
      <w:r>
        <w:rPr>
          <w:b/>
          <w:bCs/>
        </w:rPr>
        <w:t xml:space="preserve">Dados necessários para obrigações legais:</w:t>
      </w:r>
      <w:r>
        <w:t xml:space="preserve"> </w:t>
      </w:r>
      <w:r>
        <w:t xml:space="preserve">pelo prazo exigido pela legislação aplicável</w:t>
      </w:r>
    </w:p>
    <w:p>
      <w:pPr>
        <w:pStyle w:val="FirstParagraph"/>
      </w:pPr>
      <w:r>
        <w:t xml:space="preserve">Após o término do período de retenção, os dados são eliminados ou anonimizados de forma irreversível.</w:t>
      </w:r>
    </w:p>
    <w:p>
      <w:r>
        <w:pict>
          <v:rect style="width:0;height:1.5pt" o:hralign="center" o:hrstd="t" o:hr="t"/>
        </w:pict>
      </w:r>
    </w:p>
    <w:bookmarkEnd w:id="15"/>
    <w:bookmarkStart w:id="16" w:name="seus-direitos-como-titular"/>
    <w:p>
      <w:pPr>
        <w:pStyle w:val="Heading2"/>
      </w:pPr>
      <w:r>
        <w:t xml:space="preserve">6. Seus direitos como titular</w:t>
      </w:r>
    </w:p>
    <w:p>
      <w:pPr>
        <w:pStyle w:val="FirstParagraph"/>
      </w:pPr>
      <w:r>
        <w:t xml:space="preserve">Nos termos da LGPD, você tem os seguintes direitos em relação aos seus dados pessoais:</w:t>
      </w:r>
    </w:p>
    <w:p>
      <w:pPr>
        <w:pStyle w:val="Compact"/>
        <w:numPr>
          <w:ilvl w:val="0"/>
          <w:numId w:val="1005"/>
        </w:numPr>
      </w:pPr>
      <w:r>
        <w:rPr>
          <w:b/>
          <w:bCs/>
        </w:rPr>
        <w:t xml:space="preserve">Confirmação e acesso:</w:t>
      </w:r>
      <w:r>
        <w:t xml:space="preserve"> </w:t>
      </w:r>
      <w:r>
        <w:t xml:space="preserve">saber se tratamos seus dados e acessar as informações que temos sobre você</w:t>
      </w:r>
    </w:p>
    <w:p>
      <w:pPr>
        <w:pStyle w:val="Compact"/>
        <w:numPr>
          <w:ilvl w:val="0"/>
          <w:numId w:val="1005"/>
        </w:numPr>
      </w:pPr>
      <w:r>
        <w:rPr>
          <w:b/>
          <w:bCs/>
        </w:rPr>
        <w:t xml:space="preserve">Correção:</w:t>
      </w:r>
      <w:r>
        <w:t xml:space="preserve"> </w:t>
      </w:r>
      <w:r>
        <w:t xml:space="preserve">solicitar a correção de dados incompletos, inexatos ou desatualizados</w:t>
      </w:r>
    </w:p>
    <w:p>
      <w:pPr>
        <w:pStyle w:val="Compact"/>
        <w:numPr>
          <w:ilvl w:val="0"/>
          <w:numId w:val="1005"/>
        </w:numPr>
      </w:pPr>
      <w:r>
        <w:rPr>
          <w:b/>
          <w:bCs/>
        </w:rPr>
        <w:t xml:space="preserve">Anonimização, bloqueio ou eliminação:</w:t>
      </w:r>
      <w:r>
        <w:t xml:space="preserve"> </w:t>
      </w:r>
      <w:r>
        <w:t xml:space="preserve">solicitar a anonimização, bloqueio ou eliminação de dados desnecessários ou tratados em desconformidade com a LGPD</w:t>
      </w:r>
    </w:p>
    <w:p>
      <w:pPr>
        <w:pStyle w:val="Compact"/>
        <w:numPr>
          <w:ilvl w:val="0"/>
          <w:numId w:val="1005"/>
        </w:numPr>
      </w:pPr>
      <w:r>
        <w:rPr>
          <w:b/>
          <w:bCs/>
        </w:rPr>
        <w:t xml:space="preserve">Portabilidade:</w:t>
      </w:r>
      <w:r>
        <w:t xml:space="preserve"> </w:t>
      </w:r>
      <w:r>
        <w:t xml:space="preserve">solicitar a portabilidade dos seus dados a outro fornecedor de serviço</w:t>
      </w:r>
    </w:p>
    <w:p>
      <w:pPr>
        <w:pStyle w:val="Compact"/>
        <w:numPr>
          <w:ilvl w:val="0"/>
          <w:numId w:val="1005"/>
        </w:numPr>
      </w:pPr>
      <w:r>
        <w:rPr>
          <w:b/>
          <w:bCs/>
        </w:rPr>
        <w:t xml:space="preserve">Eliminação:</w:t>
      </w:r>
      <w:r>
        <w:t xml:space="preserve"> </w:t>
      </w:r>
      <w:r>
        <w:t xml:space="preserve">solicitar a eliminação dos dados tratados com base no seu consentimento</w:t>
      </w:r>
    </w:p>
    <w:p>
      <w:pPr>
        <w:pStyle w:val="Compact"/>
        <w:numPr>
          <w:ilvl w:val="0"/>
          <w:numId w:val="1005"/>
        </w:numPr>
      </w:pPr>
      <w:r>
        <w:rPr>
          <w:b/>
          <w:bCs/>
        </w:rPr>
        <w:t xml:space="preserve">Informação sobre compartilhamento:</w:t>
      </w:r>
      <w:r>
        <w:t xml:space="preserve"> </w:t>
      </w:r>
      <w:r>
        <w:t xml:space="preserve">saber com quais entidades seus dados foram compartilhados</w:t>
      </w:r>
    </w:p>
    <w:p>
      <w:pPr>
        <w:pStyle w:val="Compact"/>
        <w:numPr>
          <w:ilvl w:val="0"/>
          <w:numId w:val="1005"/>
        </w:numPr>
      </w:pPr>
      <w:r>
        <w:rPr>
          <w:b/>
          <w:bCs/>
        </w:rPr>
        <w:t xml:space="preserve">Revogação do consentimento:</w:t>
      </w:r>
      <w:r>
        <w:t xml:space="preserve"> </w:t>
      </w:r>
      <w:r>
        <w:t xml:space="preserve">revogar o consentimento a qualquer momento, sem afetar a legalidade do tratamento realizado anteriormente</w:t>
      </w:r>
    </w:p>
    <w:p>
      <w:pPr>
        <w:pStyle w:val="Compact"/>
        <w:numPr>
          <w:ilvl w:val="0"/>
          <w:numId w:val="1005"/>
        </w:numPr>
      </w:pPr>
      <w:r>
        <w:rPr>
          <w:b/>
          <w:bCs/>
        </w:rPr>
        <w:t xml:space="preserve">Oposição:</w:t>
      </w:r>
      <w:r>
        <w:t xml:space="preserve"> </w:t>
      </w:r>
      <w:r>
        <w:t xml:space="preserve">opor-se ao tratamento realizado com base em legítimo interesse, caso entenda que há violação à LGPD</w:t>
      </w:r>
    </w:p>
    <w:p>
      <w:pPr>
        <w:pStyle w:val="FirstParagraph"/>
      </w:pPr>
      <w:r>
        <w:t xml:space="preserve">Para exercer qualquer desses direitos, entre em contato conosco conforme a Seção 9.</w:t>
      </w:r>
    </w:p>
    <w:p>
      <w:r>
        <w:pict>
          <v:rect style="width:0;height:1.5pt" o:hralign="center" o:hrstd="t" o:hr="t"/>
        </w:pict>
      </w:r>
    </w:p>
    <w:bookmarkEnd w:id="16"/>
    <w:bookmarkStart w:id="20" w:name="cookies-e-tecnologias-de-rastreamento"/>
    <w:p>
      <w:pPr>
        <w:pStyle w:val="Heading2"/>
      </w:pPr>
      <w:r>
        <w:t xml:space="preserve">7. Cookies e tecnologias de rastreamento</w:t>
      </w:r>
    </w:p>
    <w:p>
      <w:pPr>
        <w:pStyle w:val="FirstParagraph"/>
      </w:pPr>
      <w:r>
        <w:t xml:space="preserve">Utilizamos cookies e tecnologias similares para melhorar sua experiência e mensurar a eficácia das nossas campanhas.</w:t>
      </w:r>
    </w:p>
    <w:bookmarkStart w:id="17" w:name="tipos-de-cookies-utilizados"/>
    <w:p>
      <w:pPr>
        <w:pStyle w:val="Heading3"/>
      </w:pPr>
      <w:r>
        <w:t xml:space="preserve">Tipos de cookies utilizados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w:t>
            </w:r>
          </w:p>
        </w:tc>
        <w:tc>
          <w:tcPr/>
          <w:p>
            <w:pPr>
              <w:pStyle w:val="Compact"/>
            </w:pPr>
            <w:r>
              <w:t xml:space="preserve">Finalidade</w:t>
            </w:r>
          </w:p>
        </w:tc>
        <w:tc>
          <w:tcPr/>
          <w:p>
            <w:pPr>
              <w:pStyle w:val="Compact"/>
            </w:pPr>
            <w:r>
              <w:t xml:space="preserve">Duração</w:t>
            </w:r>
          </w:p>
        </w:tc>
      </w:tr>
      <w:tr>
        <w:tc>
          <w:tcPr/>
          <w:p>
            <w:pPr>
              <w:pStyle w:val="Compact"/>
            </w:pPr>
            <w:r>
              <w:rPr>
                <w:b/>
                <w:bCs/>
              </w:rPr>
              <w:t xml:space="preserve">Estritamente necessários</w:t>
            </w:r>
          </w:p>
        </w:tc>
        <w:tc>
          <w:tcPr/>
          <w:p>
            <w:pPr>
              <w:pStyle w:val="Compact"/>
            </w:pPr>
            <w:r>
              <w:t xml:space="preserve">Funcionamento básico do site</w:t>
            </w:r>
          </w:p>
        </w:tc>
        <w:tc>
          <w:tcPr/>
          <w:p>
            <w:pPr>
              <w:pStyle w:val="Compact"/>
            </w:pPr>
            <w:r>
              <w:t xml:space="preserve">Sessão</w:t>
            </w:r>
          </w:p>
        </w:tc>
      </w:tr>
      <w:tr>
        <w:tc>
          <w:tcPr/>
          <w:p>
            <w:pPr>
              <w:pStyle w:val="Compact"/>
            </w:pPr>
            <w:r>
              <w:rPr>
                <w:b/>
                <w:bCs/>
              </w:rPr>
              <w:t xml:space="preserve">De desempenho/analíticos</w:t>
            </w:r>
          </w:p>
        </w:tc>
        <w:tc>
          <w:tcPr/>
          <w:p>
            <w:pPr>
              <w:pStyle w:val="Compact"/>
            </w:pPr>
            <w:r>
              <w:t xml:space="preserve">Análise de navegação e comportamento</w:t>
            </w:r>
          </w:p>
        </w:tc>
        <w:tc>
          <w:tcPr/>
          <w:p>
            <w:pPr>
              <w:pStyle w:val="Compact"/>
            </w:pPr>
            <w:r>
              <w:t xml:space="preserve">Até 12 meses</w:t>
            </w:r>
          </w:p>
        </w:tc>
      </w:tr>
      <w:tr>
        <w:tc>
          <w:tcPr/>
          <w:p>
            <w:pPr>
              <w:pStyle w:val="Compact"/>
            </w:pPr>
            <w:r>
              <w:rPr>
                <w:b/>
                <w:bCs/>
              </w:rPr>
              <w:t xml:space="preserve">De marketing</w:t>
            </w:r>
          </w:p>
        </w:tc>
        <w:tc>
          <w:tcPr/>
          <w:p>
            <w:pPr>
              <w:pStyle w:val="Compact"/>
            </w:pPr>
            <w:r>
              <w:t xml:space="preserve">Mensuração de conversões e remarketing</w:t>
            </w:r>
          </w:p>
        </w:tc>
        <w:tc>
          <w:tcPr/>
          <w:p>
            <w:pPr>
              <w:pStyle w:val="Compact"/>
            </w:pPr>
            <w:r>
              <w:t xml:space="preserve">Até 12 meses</w:t>
            </w:r>
          </w:p>
        </w:tc>
      </w:tr>
    </w:tbl>
    <w:bookmarkEnd w:id="17"/>
    <w:bookmarkStart w:id="18" w:name="tecnologias-de-mensuração"/>
    <w:p>
      <w:pPr>
        <w:pStyle w:val="Heading3"/>
      </w:pPr>
      <w:r>
        <w:t xml:space="preserve">Tecnologias de mensuração</w:t>
      </w:r>
    </w:p>
    <w:p>
      <w:pPr>
        <w:pStyle w:val="FirstParagraph"/>
      </w:pPr>
      <w:r>
        <w:t xml:space="preserve">Utilizamos ferramentas de mensuração server-side (conversões enviadas diretamente do servidor) para medir a eficácia das campanhas de forma mais precisa e segura. Dados pessoais como e-mail são convertidos em hash criptográfico (SHA-256) antes de serem compartilhados com plataformas de publicidade, de modo que o dado original não é transmitido.</w:t>
      </w:r>
    </w:p>
    <w:bookmarkEnd w:id="18"/>
    <w:bookmarkStart w:id="19" w:name="gerenciamento-de-cookies"/>
    <w:p>
      <w:pPr>
        <w:pStyle w:val="Heading3"/>
      </w:pPr>
      <w:r>
        <w:t xml:space="preserve">Gerenciamento de cookies</w:t>
      </w:r>
    </w:p>
    <w:p>
      <w:pPr>
        <w:pStyle w:val="FirstParagraph"/>
      </w:pPr>
      <w:r>
        <w:t xml:space="preserve">Você pode gerenciar suas preferências de cookies diretamente nas configurações do seu navegador. A desativação de alguns cookies pode afetar a funcionalidade do site.</w:t>
      </w:r>
    </w:p>
    <w:p>
      <w:r>
        <w:pict>
          <v:rect style="width:0;height:1.5pt" o:hralign="center" o:hrstd="t" o:hr="t"/>
        </w:pict>
      </w:r>
    </w:p>
    <w:bookmarkEnd w:id="19"/>
    <w:bookmarkEnd w:id="20"/>
    <w:bookmarkStart w:id="21" w:name="segurança-dos-dados"/>
    <w:p>
      <w:pPr>
        <w:pStyle w:val="Heading2"/>
      </w:pPr>
      <w:r>
        <w:t xml:space="preserve">8. Segurança dos dados</w:t>
      </w:r>
    </w:p>
    <w:p>
      <w:pPr>
        <w:pStyle w:val="FirstParagraph"/>
      </w:pPr>
      <w:r>
        <w:t xml:space="preserve">Adotamos medidas técnicas e organizacionais adequadas para proteger seus dados pessoais contra acesso não autorizado, destruição, perda, alteração ou qualquer forma de tratamento inadequado, incluindo:</w:t>
      </w:r>
    </w:p>
    <w:p>
      <w:pPr>
        <w:pStyle w:val="Compact"/>
        <w:numPr>
          <w:ilvl w:val="0"/>
          <w:numId w:val="1006"/>
        </w:numPr>
      </w:pPr>
      <w:r>
        <w:t xml:space="preserve">Criptografia de dados em trânsito (HTTPS/TLS)</w:t>
      </w:r>
    </w:p>
    <w:p>
      <w:pPr>
        <w:pStyle w:val="Compact"/>
        <w:numPr>
          <w:ilvl w:val="0"/>
          <w:numId w:val="1006"/>
        </w:numPr>
      </w:pPr>
      <w:r>
        <w:t xml:space="preserve">Controle de acesso baseado em função</w:t>
      </w:r>
    </w:p>
    <w:p>
      <w:pPr>
        <w:pStyle w:val="Compact"/>
        <w:numPr>
          <w:ilvl w:val="0"/>
          <w:numId w:val="1006"/>
        </w:numPr>
      </w:pPr>
      <w:r>
        <w:t xml:space="preserve">Monitoramento de acessos e logs de auditoria</w:t>
      </w:r>
    </w:p>
    <w:p>
      <w:pPr>
        <w:pStyle w:val="Compact"/>
        <w:numPr>
          <w:ilvl w:val="0"/>
          <w:numId w:val="1006"/>
        </w:numPr>
      </w:pPr>
      <w:r>
        <w:t xml:space="preserve">Hash criptográfico (SHA-256) para dados sensíveis compartilhados com terceiros</w:t>
      </w:r>
    </w:p>
    <w:p>
      <w:pPr>
        <w:pStyle w:val="Compact"/>
        <w:numPr>
          <w:ilvl w:val="0"/>
          <w:numId w:val="1006"/>
        </w:numPr>
      </w:pPr>
      <w:r>
        <w:t xml:space="preserve">Revisão periódica de políticas e procedimentos de segurança</w:t>
      </w:r>
    </w:p>
    <w:p>
      <w:r>
        <w:pict>
          <v:rect style="width:0;height:1.5pt" o:hralign="center" o:hrstd="t" o:hr="t"/>
        </w:pict>
      </w:r>
    </w:p>
    <w:bookmarkEnd w:id="21"/>
    <w:bookmarkStart w:id="22" w:name="contato"/>
    <w:p>
      <w:pPr>
        <w:pStyle w:val="Heading2"/>
      </w:pPr>
      <w:r>
        <w:t xml:space="preserve">9. Contato</w:t>
      </w:r>
    </w:p>
    <w:p>
      <w:pPr>
        <w:pStyle w:val="FirstParagraph"/>
      </w:pPr>
      <w:r>
        <w:t xml:space="preserve">Para dúvidas, solicitações ou exercício dos seus direitos como titular de dados, entre em contato com nosso Encarregado de Proteção de Dados (DPO):</w:t>
      </w:r>
    </w:p>
    <w:p>
      <w:pPr>
        <w:pStyle w:val="Compact"/>
        <w:numPr>
          <w:ilvl w:val="0"/>
          <w:numId w:val="1007"/>
        </w:numPr>
      </w:pPr>
      <w:r>
        <w:rPr>
          <w:b/>
          <w:bCs/>
        </w:rPr>
        <w:t xml:space="preserve">E-mail:</w:t>
      </w:r>
      <w:r>
        <w:t xml:space="preserve"> </w:t>
      </w:r>
      <w:r>
        <w:t xml:space="preserve">suporte@boostresearch.com.br</w:t>
      </w:r>
    </w:p>
    <w:p>
      <w:pPr>
        <w:pStyle w:val="Compact"/>
        <w:numPr>
          <w:ilvl w:val="0"/>
          <w:numId w:val="1007"/>
        </w:numPr>
      </w:pPr>
      <w:r>
        <w:rPr>
          <w:b/>
          <w:bCs/>
        </w:rPr>
        <w:t xml:space="preserve">Telefone/WhatsApp:</w:t>
      </w:r>
      <w:r>
        <w:t xml:space="preserve"> </w:t>
      </w:r>
      <w:r>
        <w:t xml:space="preserve">+55 (11) 99855-0691</w:t>
      </w:r>
    </w:p>
    <w:p>
      <w:pPr>
        <w:pStyle w:val="Compact"/>
        <w:numPr>
          <w:ilvl w:val="0"/>
          <w:numId w:val="1007"/>
        </w:numPr>
      </w:pPr>
      <w:r>
        <w:rPr>
          <w:b/>
          <w:bCs/>
        </w:rPr>
        <w:t xml:space="preserve">Endereço:</w:t>
      </w:r>
      <w:r>
        <w:t xml:space="preserve"> </w:t>
      </w:r>
      <w:r>
        <w:t xml:space="preserve">Avenida Marcos Penteado de Ulhoa Rodrigues, 939, oitavo andar, torre Jacarandá, CEP 06460-040, Barueri/SP</w:t>
      </w:r>
    </w:p>
    <w:p>
      <w:pPr>
        <w:pStyle w:val="FirstParagraph"/>
      </w:pPr>
      <w:r>
        <w:t xml:space="preserve">Responderemos à sua solicitação no prazo de até 15 (quinze) dias, conforme previsto na LGPD.</w:t>
      </w:r>
    </w:p>
    <w:p>
      <w:r>
        <w:pict>
          <v:rect style="width:0;height:1.5pt" o:hralign="center" o:hrstd="t" o:hr="t"/>
        </w:pict>
      </w:r>
    </w:p>
    <w:bookmarkEnd w:id="22"/>
    <w:bookmarkStart w:id="23" w:name="alterações-nesta-política"/>
    <w:p>
      <w:pPr>
        <w:pStyle w:val="Heading2"/>
      </w:pPr>
      <w:r>
        <w:t xml:space="preserve">10. Alterações nesta política</w:t>
      </w:r>
    </w:p>
    <w:p>
      <w:pPr>
        <w:pStyle w:val="FirstParagraph"/>
      </w:pPr>
      <w:r>
        <w:t xml:space="preserve">Podemos atualizar esta Política de Privacidade periodicamente. A versão mais recente estará sempre disponível em nosso site, com a data da última atualização indicada no topo do documento. Recomendamos que você consulte esta página regularmente.</w:t>
      </w:r>
    </w:p>
    <w:p>
      <w:r>
        <w:pict>
          <v:rect style="width:0;height:1.5pt" o:hralign="center" o:hrstd="t" o:hr="t"/>
        </w:pict>
      </w:r>
    </w:p>
    <w:bookmarkEnd w:id="23"/>
    <w:bookmarkStart w:id="24" w:name="disclaimer-análise-de-investimentos"/>
    <w:p>
      <w:pPr>
        <w:pStyle w:val="Heading2"/>
      </w:pPr>
      <w:r>
        <w:t xml:space="preserve">11. Disclaimer — Análise de investimentos</w:t>
      </w:r>
    </w:p>
    <w:p>
      <w:pPr>
        <w:pStyle w:val="FirstParagraph"/>
      </w:pPr>
      <w:r>
        <w:t xml:space="preserve">A Boost Research é uma casa de análise independente de criptoativos. Os conteúdos, relatórios e materiais produzidos têm caráter exclusivamente informativo e educacional, não constituindo oferta, solicitação, sugestão ou recomendação de investimento.</w:t>
      </w:r>
    </w:p>
    <w:p>
      <w:pPr>
        <w:pStyle w:val="BodyText"/>
      </w:pPr>
      <w:r>
        <w:rPr>
          <w:b/>
          <w:bCs/>
        </w:rPr>
        <w:t xml:space="preserve">Rentabilidade passada não é garantia de resultados futuros.</w:t>
      </w:r>
      <w:r>
        <w:t xml:space="preserve"> </w:t>
      </w:r>
      <w:r>
        <w:t xml:space="preserve">Investimentos em criptoativos envolvem riscos, incluindo a possibilidade de perda total do capital investido. Antes de tomar qualquer decisão de investimento, consulte um profissional qualificado.</w:t>
      </w:r>
    </w:p>
    <w:p>
      <w:r>
        <w:pict>
          <v:rect style="width:0;height:1.5pt" o:hralign="center" o:hrstd="t" o:hr="t"/>
        </w:pict>
      </w:r>
    </w:p>
    <w:p>
      <w:pPr>
        <w:pStyle w:val="FirstParagraph"/>
      </w:pPr>
      <w:r>
        <w:rPr>
          <w:i/>
          <w:iCs/>
        </w:rPr>
        <w:t xml:space="preserve">Boost Research © 2026. Todos os direitos reservados.</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2026-04-23T17:18:03Z</dcterms:created>
  <dcterms:modified xsi:type="dcterms:W3CDTF">2026-04-23T17:18:03Z</dcterms:modified>
</cp:coreProperties>
</file>

<file path=docProps/custom.xml><?xml version="1.0" encoding="utf-8"?>
<Properties xmlns="http://schemas.openxmlformats.org/officeDocument/2006/custom-properties" xmlns:vt="http://schemas.openxmlformats.org/officeDocument/2006/docPropsVTypes"/>
</file>