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51B" w:rsidRDefault="0090595C">
      <w:r>
        <w:t>Nick commentary</w:t>
      </w:r>
    </w:p>
    <w:p w:rsidR="0090595C" w:rsidRPr="0087386F" w:rsidRDefault="0090595C">
      <w:pPr>
        <w:rPr>
          <w:color w:val="FF0000"/>
        </w:rPr>
      </w:pPr>
      <w:r w:rsidRPr="0087386F">
        <w:rPr>
          <w:color w:val="FF0000"/>
        </w:rPr>
        <w:t>Talk more about NIST secondment!</w:t>
      </w:r>
    </w:p>
    <w:p w:rsidR="0090595C" w:rsidRPr="0087386F" w:rsidRDefault="0090595C" w:rsidP="0090595C">
      <w:pPr>
        <w:pStyle w:val="ListParagraph"/>
        <w:numPr>
          <w:ilvl w:val="0"/>
          <w:numId w:val="1"/>
        </w:numPr>
        <w:rPr>
          <w:color w:val="FF0000"/>
        </w:rPr>
      </w:pPr>
      <w:r w:rsidRPr="0087386F">
        <w:rPr>
          <w:color w:val="FF0000"/>
        </w:rPr>
        <w:t>Invited secondment</w:t>
      </w:r>
    </w:p>
    <w:p w:rsidR="0090595C" w:rsidRPr="0087386F" w:rsidRDefault="0090595C" w:rsidP="0090595C">
      <w:pPr>
        <w:pStyle w:val="ListParagraph"/>
        <w:numPr>
          <w:ilvl w:val="0"/>
          <w:numId w:val="1"/>
        </w:numPr>
        <w:rPr>
          <w:color w:val="FF0000"/>
        </w:rPr>
      </w:pPr>
      <w:r w:rsidRPr="0087386F">
        <w:rPr>
          <w:color w:val="FF0000"/>
        </w:rPr>
        <w:t>From Dylan – MTT president during (IEEE Xplore bio.)!</w:t>
      </w:r>
    </w:p>
    <w:p w:rsidR="0090595C" w:rsidRPr="006F11B8" w:rsidRDefault="0090595C" w:rsidP="0090595C">
      <w:pPr>
        <w:rPr>
          <w:color w:val="FF0000"/>
        </w:rPr>
      </w:pPr>
      <w:r w:rsidRPr="006F11B8">
        <w:rPr>
          <w:color w:val="FF0000"/>
        </w:rPr>
        <w:t xml:space="preserve">P5 </w:t>
      </w:r>
      <w:proofErr w:type="spellStart"/>
      <w:r w:rsidRPr="006F11B8">
        <w:rPr>
          <w:color w:val="FF0000"/>
        </w:rPr>
        <w:t>nist</w:t>
      </w:r>
      <w:proofErr w:type="spellEnd"/>
      <w:r w:rsidRPr="006F11B8">
        <w:rPr>
          <w:color w:val="FF0000"/>
        </w:rPr>
        <w:t xml:space="preserve"> acronym</w:t>
      </w:r>
    </w:p>
    <w:p w:rsidR="0090595C" w:rsidRPr="003902DF" w:rsidRDefault="0090595C" w:rsidP="0090595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0"/>
          <w:szCs w:val="20"/>
        </w:rPr>
      </w:pPr>
      <w:r w:rsidRPr="003902DF">
        <w:rPr>
          <w:rFonts w:ascii="CMR10" w:hAnsi="CMR10" w:cs="CMR10"/>
          <w:color w:val="FF0000"/>
          <w:sz w:val="20"/>
          <w:szCs w:val="20"/>
        </w:rPr>
        <w:t>Using resources available at a National Metrology Institute, attempt to</w:t>
      </w:r>
    </w:p>
    <w:p w:rsidR="0090595C" w:rsidRPr="003902DF" w:rsidRDefault="0090595C" w:rsidP="0090595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0"/>
          <w:szCs w:val="20"/>
        </w:rPr>
      </w:pPr>
      <w:r w:rsidRPr="003902DF">
        <w:rPr>
          <w:rFonts w:ascii="CMR10" w:hAnsi="CMR10" w:cs="CMR10"/>
          <w:color w:val="FF0000"/>
          <w:sz w:val="20"/>
          <w:szCs w:val="20"/>
        </w:rPr>
        <w:t>apply best practices to higher frequencies (with the potential for future communications</w:t>
      </w:r>
    </w:p>
    <w:p w:rsidR="0090595C" w:rsidRPr="003902DF" w:rsidRDefault="0090595C" w:rsidP="0090595C">
      <w:pPr>
        <w:rPr>
          <w:rFonts w:ascii="CMR10" w:hAnsi="CMR10" w:cs="CMR10"/>
          <w:color w:val="FF0000"/>
          <w:sz w:val="20"/>
          <w:szCs w:val="20"/>
        </w:rPr>
      </w:pPr>
      <w:r w:rsidRPr="003902DF">
        <w:rPr>
          <w:rFonts w:ascii="CMR10" w:hAnsi="CMR10" w:cs="CMR10"/>
          <w:color w:val="FF0000"/>
          <w:sz w:val="20"/>
          <w:szCs w:val="20"/>
        </w:rPr>
        <w:t>use) and observe if they are applicable</w:t>
      </w:r>
    </w:p>
    <w:p w:rsidR="0090595C" w:rsidRPr="003902DF" w:rsidRDefault="0090595C" w:rsidP="0090595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0"/>
          <w:szCs w:val="20"/>
        </w:rPr>
      </w:pPr>
      <w:r w:rsidRPr="003902DF">
        <w:rPr>
          <w:rFonts w:ascii="CMR10" w:hAnsi="CMR10" w:cs="CMR10"/>
          <w:color w:val="FF0000"/>
          <w:sz w:val="20"/>
          <w:szCs w:val="20"/>
        </w:rPr>
        <w:t>Similar waveguide is being used in</w:t>
      </w:r>
    </w:p>
    <w:p w:rsidR="0090595C" w:rsidRPr="003902DF" w:rsidRDefault="0090595C" w:rsidP="0090595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0"/>
          <w:szCs w:val="20"/>
        </w:rPr>
      </w:pPr>
      <w:r w:rsidRPr="003902DF">
        <w:rPr>
          <w:rFonts w:ascii="CMR10" w:hAnsi="CMR10" w:cs="CMR10"/>
          <w:color w:val="FF0000"/>
          <w:sz w:val="20"/>
          <w:szCs w:val="20"/>
        </w:rPr>
        <w:t>5G backbone development at 28 GHz and above, so reliable metrology in this transmission</w:t>
      </w:r>
    </w:p>
    <w:p w:rsidR="0090595C" w:rsidRPr="003902DF" w:rsidRDefault="0090595C" w:rsidP="0090595C">
      <w:pPr>
        <w:rPr>
          <w:rFonts w:ascii="CMR10" w:hAnsi="CMR10" w:cs="CMR10"/>
          <w:color w:val="FF0000"/>
          <w:sz w:val="20"/>
          <w:szCs w:val="20"/>
        </w:rPr>
      </w:pPr>
      <w:r w:rsidRPr="003902DF">
        <w:rPr>
          <w:rFonts w:ascii="CMR10" w:hAnsi="CMR10" w:cs="CMR10"/>
          <w:color w:val="FF0000"/>
          <w:sz w:val="20"/>
          <w:szCs w:val="20"/>
        </w:rPr>
        <w:t>medium is important. HIGHER PLS</w:t>
      </w:r>
    </w:p>
    <w:p w:rsidR="00244A38" w:rsidRDefault="00244A38" w:rsidP="0090595C">
      <w:pPr>
        <w:rPr>
          <w:rFonts w:ascii="CMR10" w:hAnsi="CMR10" w:cs="CMR10"/>
          <w:sz w:val="20"/>
          <w:szCs w:val="20"/>
        </w:rPr>
      </w:pPr>
    </w:p>
    <w:p w:rsidR="00127FB6" w:rsidRPr="003902DF" w:rsidRDefault="00127FB6" w:rsidP="00127FB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0"/>
          <w:szCs w:val="20"/>
        </w:rPr>
      </w:pPr>
      <w:r w:rsidRPr="003902DF">
        <w:rPr>
          <w:rFonts w:ascii="CMR10" w:hAnsi="CMR10" w:cs="CMR10"/>
          <w:color w:val="FF0000"/>
          <w:sz w:val="20"/>
          <w:szCs w:val="20"/>
        </w:rPr>
        <w:t>2.2.1.1 They are</w:t>
      </w:r>
    </w:p>
    <w:p w:rsidR="00127FB6" w:rsidRPr="003902DF" w:rsidRDefault="00127FB6" w:rsidP="00127FB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0"/>
          <w:szCs w:val="20"/>
        </w:rPr>
      </w:pPr>
      <w:r w:rsidRPr="003902DF">
        <w:rPr>
          <w:rFonts w:ascii="CMR10" w:hAnsi="CMR10" w:cs="CMR10"/>
          <w:color w:val="FF0000"/>
          <w:sz w:val="20"/>
          <w:szCs w:val="20"/>
        </w:rPr>
        <w:t>physical and measurable via slotted line experiments or \thru-</w:t>
      </w:r>
      <w:proofErr w:type="spellStart"/>
      <w:r w:rsidRPr="003902DF">
        <w:rPr>
          <w:rFonts w:ascii="CMR10" w:hAnsi="CMR10" w:cs="CMR10"/>
          <w:color w:val="FF0000"/>
          <w:sz w:val="20"/>
          <w:szCs w:val="20"/>
        </w:rPr>
        <w:t>reect</w:t>
      </w:r>
      <w:proofErr w:type="spellEnd"/>
      <w:r w:rsidRPr="003902DF">
        <w:rPr>
          <w:rFonts w:ascii="CMR10" w:hAnsi="CMR10" w:cs="CMR10"/>
          <w:color w:val="FF0000"/>
          <w:sz w:val="20"/>
          <w:szCs w:val="20"/>
        </w:rPr>
        <w:t>-line" calibrations (explained</w:t>
      </w:r>
    </w:p>
    <w:p w:rsidR="0090595C" w:rsidRPr="003902DF" w:rsidRDefault="00127FB6" w:rsidP="00127FB6">
      <w:pPr>
        <w:rPr>
          <w:rFonts w:ascii="CMR10" w:hAnsi="CMR10" w:cs="CMR10"/>
          <w:color w:val="FF0000"/>
          <w:sz w:val="20"/>
          <w:szCs w:val="20"/>
        </w:rPr>
      </w:pPr>
      <w:r w:rsidRPr="003902DF">
        <w:rPr>
          <w:rFonts w:ascii="CMR10" w:hAnsi="CMR10" w:cs="CMR10"/>
          <w:color w:val="FF0000"/>
          <w:sz w:val="20"/>
          <w:szCs w:val="20"/>
        </w:rPr>
        <w:t>later in this Chapter).</w:t>
      </w:r>
    </w:p>
    <w:p w:rsidR="00127FB6" w:rsidRPr="00B473B1" w:rsidRDefault="00127FB6" w:rsidP="00127FB6">
      <w:pPr>
        <w:rPr>
          <w:rFonts w:ascii="CMR10" w:hAnsi="CMR10" w:cs="CMR10"/>
          <w:color w:val="FF0000"/>
          <w:sz w:val="20"/>
          <w:szCs w:val="20"/>
        </w:rPr>
      </w:pPr>
      <w:r w:rsidRPr="00B473B1">
        <w:rPr>
          <w:rFonts w:ascii="CMR10" w:hAnsi="CMR10" w:cs="CMR10"/>
          <w:color w:val="FF0000"/>
          <w:sz w:val="20"/>
          <w:szCs w:val="20"/>
        </w:rPr>
        <w:t>FIG 2.4 acronyms</w:t>
      </w:r>
    </w:p>
    <w:p w:rsidR="00127FB6" w:rsidRPr="008C2A76" w:rsidRDefault="00127FB6" w:rsidP="00127FB6">
      <w:pPr>
        <w:rPr>
          <w:rFonts w:ascii="CMR10" w:hAnsi="CMR10" w:cs="CMR10"/>
          <w:color w:val="FF0000"/>
          <w:sz w:val="20"/>
          <w:szCs w:val="20"/>
        </w:rPr>
      </w:pPr>
      <w:r w:rsidRPr="008C2A76">
        <w:rPr>
          <w:rFonts w:ascii="CMR10" w:hAnsi="CMR10" w:cs="CMR10"/>
          <w:color w:val="FF0000"/>
          <w:sz w:val="20"/>
          <w:szCs w:val="20"/>
        </w:rPr>
        <w:t>Fig 2.5 receiver names</w:t>
      </w:r>
    </w:p>
    <w:p w:rsidR="00127FB6" w:rsidRPr="00736A81" w:rsidRDefault="00127FB6" w:rsidP="00127FB6">
      <w:pPr>
        <w:rPr>
          <w:rFonts w:ascii="CMR10" w:hAnsi="CMR10" w:cs="CMR10"/>
          <w:color w:val="FF0000"/>
          <w:sz w:val="20"/>
          <w:szCs w:val="20"/>
        </w:rPr>
      </w:pPr>
      <w:proofErr w:type="spellStart"/>
      <w:r w:rsidRPr="00736A81">
        <w:rPr>
          <w:color w:val="FF0000"/>
        </w:rPr>
        <w:t>Vna</w:t>
      </w:r>
      <w:proofErr w:type="spellEnd"/>
      <w:r w:rsidRPr="00736A81">
        <w:rPr>
          <w:color w:val="FF0000"/>
        </w:rPr>
        <w:t xml:space="preserve"> </w:t>
      </w:r>
      <w:r w:rsidRPr="00736A81">
        <w:rPr>
          <w:rFonts w:ascii="CMR10" w:hAnsi="CMR10" w:cs="CMR10"/>
          <w:color w:val="FF0000"/>
          <w:sz w:val="20"/>
          <w:szCs w:val="20"/>
        </w:rPr>
        <w:t>if not all such to rf and microwave meas.</w:t>
      </w:r>
    </w:p>
    <w:p w:rsidR="00127FB6" w:rsidRPr="00736A81" w:rsidRDefault="00127FB6" w:rsidP="00127FB6">
      <w:pPr>
        <w:rPr>
          <w:rFonts w:ascii="CMR10" w:hAnsi="CMR10" w:cs="CMR10"/>
          <w:color w:val="FF0000"/>
          <w:sz w:val="20"/>
          <w:szCs w:val="20"/>
        </w:rPr>
      </w:pPr>
      <w:r w:rsidRPr="00736A81">
        <w:rPr>
          <w:rFonts w:ascii="CMR10" w:hAnsi="CMR10" w:cs="CMR10"/>
          <w:color w:val="FF0000"/>
          <w:sz w:val="20"/>
          <w:szCs w:val="20"/>
        </w:rPr>
        <w:t xml:space="preserve">sources </w:t>
      </w:r>
      <w:proofErr w:type="gramStart"/>
      <w:r w:rsidRPr="00736A81">
        <w:rPr>
          <w:rFonts w:ascii="CMR10" w:hAnsi="CMR10" w:cs="CMR10"/>
          <w:color w:val="FF0000"/>
          <w:sz w:val="20"/>
          <w:szCs w:val="20"/>
        </w:rPr>
        <w:t>has</w:t>
      </w:r>
      <w:proofErr w:type="gramEnd"/>
      <w:r w:rsidRPr="00736A81">
        <w:rPr>
          <w:rFonts w:ascii="CMR10" w:hAnsi="CMR10" w:cs="CMR10"/>
          <w:color w:val="FF0000"/>
          <w:sz w:val="20"/>
          <w:szCs w:val="20"/>
        </w:rPr>
        <w:t xml:space="preserve"> </w:t>
      </w:r>
      <w:proofErr w:type="spellStart"/>
      <w:r w:rsidRPr="00736A81">
        <w:rPr>
          <w:rFonts w:ascii="CMR10" w:hAnsi="CMR10" w:cs="CMR10"/>
          <w:color w:val="FF0000"/>
          <w:sz w:val="20"/>
          <w:szCs w:val="20"/>
        </w:rPr>
        <w:t>falled</w:t>
      </w:r>
      <w:proofErr w:type="spellEnd"/>
      <w:r w:rsidRPr="00736A81">
        <w:rPr>
          <w:rFonts w:ascii="CMR10" w:hAnsi="CMR10" w:cs="CMR10"/>
          <w:color w:val="FF0000"/>
          <w:sz w:val="20"/>
          <w:szCs w:val="20"/>
        </w:rPr>
        <w:t xml:space="preserve"> – fallen</w:t>
      </w:r>
    </w:p>
    <w:p w:rsidR="00127FB6" w:rsidRPr="00736A81" w:rsidRDefault="00127FB6" w:rsidP="00127FB6">
      <w:pPr>
        <w:rPr>
          <w:rFonts w:ascii="CMR10" w:hAnsi="CMR10" w:cs="CMR10"/>
          <w:color w:val="FF0000"/>
          <w:sz w:val="20"/>
          <w:szCs w:val="20"/>
        </w:rPr>
      </w:pPr>
      <w:r w:rsidRPr="00736A81">
        <w:rPr>
          <w:rFonts w:ascii="CMR10" w:hAnsi="CMR10" w:cs="CMR10"/>
          <w:color w:val="FF0000"/>
          <w:sz w:val="20"/>
          <w:szCs w:val="20"/>
        </w:rPr>
        <w:t>extreme stimulus powers – clarify</w:t>
      </w:r>
    </w:p>
    <w:p w:rsidR="00127FB6" w:rsidRPr="00736A81" w:rsidRDefault="00127FB6" w:rsidP="00127FB6">
      <w:pPr>
        <w:rPr>
          <w:rFonts w:ascii="CMR10" w:hAnsi="CMR10" w:cs="CMR10"/>
          <w:color w:val="FF0000"/>
          <w:sz w:val="20"/>
          <w:szCs w:val="20"/>
        </w:rPr>
      </w:pPr>
      <w:r w:rsidRPr="00736A81">
        <w:rPr>
          <w:rFonts w:ascii="CMR10" w:hAnsi="CMR10" w:cs="CMR10"/>
          <w:color w:val="FF0000"/>
          <w:sz w:val="20"/>
          <w:szCs w:val="20"/>
        </w:rPr>
        <w:t xml:space="preserve">internals and </w:t>
      </w:r>
      <w:proofErr w:type="spellStart"/>
      <w:r w:rsidRPr="00736A81">
        <w:rPr>
          <w:rFonts w:ascii="CMR10" w:hAnsi="CMR10" w:cs="CMR10"/>
          <w:color w:val="FF0000"/>
          <w:sz w:val="20"/>
          <w:szCs w:val="20"/>
        </w:rPr>
        <w:t>and</w:t>
      </w:r>
      <w:proofErr w:type="spellEnd"/>
      <w:r w:rsidRPr="00736A81">
        <w:rPr>
          <w:rFonts w:ascii="CMR10" w:hAnsi="CMR10" w:cs="CMR10"/>
          <w:color w:val="FF0000"/>
          <w:sz w:val="20"/>
          <w:szCs w:val="20"/>
        </w:rPr>
        <w:t xml:space="preserve"> external – internal components and</w:t>
      </w:r>
    </w:p>
    <w:p w:rsidR="00127FB6" w:rsidRPr="00736A81" w:rsidRDefault="00127FB6" w:rsidP="00127FB6">
      <w:pPr>
        <w:rPr>
          <w:rFonts w:ascii="CMR10" w:hAnsi="CMR10" w:cs="CMR10"/>
          <w:color w:val="FF0000"/>
          <w:sz w:val="20"/>
          <w:szCs w:val="20"/>
        </w:rPr>
      </w:pPr>
      <w:r w:rsidRPr="00736A81">
        <w:rPr>
          <w:rFonts w:ascii="CMR10" w:hAnsi="CMR10" w:cs="CMR10"/>
          <w:color w:val="FF0000"/>
          <w:sz w:val="20"/>
          <w:szCs w:val="20"/>
        </w:rPr>
        <w:t>collier book editors</w:t>
      </w:r>
    </w:p>
    <w:p w:rsidR="00127FB6" w:rsidRDefault="00127FB6" w:rsidP="00127FB6">
      <w:pPr>
        <w:rPr>
          <w:rFonts w:ascii="CMR10" w:hAnsi="CMR10" w:cs="CMR10"/>
          <w:sz w:val="20"/>
          <w:szCs w:val="20"/>
        </w:rPr>
      </w:pPr>
    </w:p>
    <w:p w:rsidR="00127FB6" w:rsidRPr="00736A81" w:rsidRDefault="00127FB6" w:rsidP="00127FB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0"/>
          <w:szCs w:val="20"/>
        </w:rPr>
      </w:pPr>
      <w:r w:rsidRPr="00736A81">
        <w:rPr>
          <w:rFonts w:ascii="CMR10" w:hAnsi="CMR10" w:cs="CMR10"/>
          <w:color w:val="FF0000"/>
          <w:sz w:val="20"/>
          <w:szCs w:val="20"/>
        </w:rPr>
        <w:t>This is especially true for the phase calibration where</w:t>
      </w:r>
    </w:p>
    <w:p w:rsidR="00127FB6" w:rsidRPr="00736A81" w:rsidRDefault="00127FB6" w:rsidP="00127FB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0"/>
          <w:szCs w:val="20"/>
        </w:rPr>
      </w:pPr>
      <w:r w:rsidRPr="00736A81">
        <w:rPr>
          <w:rFonts w:ascii="CMR10" w:hAnsi="CMR10" w:cs="CMR10"/>
          <w:color w:val="FF0000"/>
          <w:sz w:val="20"/>
          <w:szCs w:val="20"/>
        </w:rPr>
        <w:t xml:space="preserve">the coefficients calculated from the measurements of the reference </w:t>
      </w:r>
      <w:proofErr w:type="gramStart"/>
      <w:r w:rsidRPr="00736A81">
        <w:rPr>
          <w:rFonts w:ascii="CMR10" w:hAnsi="CMR10" w:cs="CMR10"/>
          <w:color w:val="FF0000"/>
          <w:sz w:val="20"/>
          <w:szCs w:val="20"/>
        </w:rPr>
        <w:t>it's</w:t>
      </w:r>
      <w:proofErr w:type="gramEnd"/>
      <w:r w:rsidRPr="00736A81">
        <w:rPr>
          <w:rFonts w:ascii="CMR10" w:hAnsi="CMR10" w:cs="CMR10"/>
          <w:color w:val="FF0000"/>
          <w:sz w:val="20"/>
          <w:szCs w:val="20"/>
        </w:rPr>
        <w:t xml:space="preserve"> characterisation have a</w:t>
      </w:r>
    </w:p>
    <w:p w:rsidR="00127FB6" w:rsidRDefault="00127FB6" w:rsidP="00127FB6">
      <w:pPr>
        <w:rPr>
          <w:rFonts w:ascii="CMR10" w:hAnsi="CMR10" w:cs="CMR10"/>
          <w:sz w:val="20"/>
          <w:szCs w:val="20"/>
        </w:rPr>
      </w:pPr>
      <w:r w:rsidRPr="00736A81">
        <w:rPr>
          <w:rFonts w:ascii="CMR10" w:hAnsi="CMR10" w:cs="CMR10"/>
          <w:color w:val="FF0000"/>
          <w:sz w:val="20"/>
          <w:szCs w:val="20"/>
        </w:rPr>
        <w:t>linear relationship with the calibrated DUT waves</w:t>
      </w:r>
    </w:p>
    <w:p w:rsidR="00244A38" w:rsidRPr="000F1179" w:rsidRDefault="00244A38" w:rsidP="00244A3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0"/>
          <w:szCs w:val="20"/>
        </w:rPr>
      </w:pPr>
      <w:r w:rsidRPr="000F1179">
        <w:rPr>
          <w:rFonts w:ascii="CMR10" w:hAnsi="CMR10" w:cs="CMR10"/>
          <w:color w:val="FF0000"/>
          <w:sz w:val="20"/>
          <w:szCs w:val="20"/>
        </w:rPr>
        <w:t>The covariances between these quantities are not</w:t>
      </w:r>
    </w:p>
    <w:p w:rsidR="00244A38" w:rsidRPr="000F1179" w:rsidRDefault="00244A38" w:rsidP="00244A3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0"/>
          <w:szCs w:val="20"/>
        </w:rPr>
      </w:pPr>
      <w:r w:rsidRPr="000F1179">
        <w:rPr>
          <w:rFonts w:ascii="CMR10" w:hAnsi="CMR10" w:cs="CMR10"/>
          <w:color w:val="FF0000"/>
          <w:sz w:val="20"/>
          <w:szCs w:val="20"/>
        </w:rPr>
        <w:t xml:space="preserve">included, however, which can </w:t>
      </w:r>
      <w:proofErr w:type="spellStart"/>
      <w:r w:rsidRPr="000F1179">
        <w:rPr>
          <w:rFonts w:ascii="CMR10" w:hAnsi="CMR10" w:cs="CMR10"/>
          <w:color w:val="FF0000"/>
          <w:sz w:val="20"/>
          <w:szCs w:val="20"/>
        </w:rPr>
        <w:t>signi_cantly</w:t>
      </w:r>
      <w:proofErr w:type="spellEnd"/>
      <w:r w:rsidRPr="000F1179">
        <w:rPr>
          <w:rFonts w:ascii="CMR10" w:hAnsi="CMR10" w:cs="CMR10"/>
          <w:color w:val="FF0000"/>
          <w:sz w:val="20"/>
          <w:szCs w:val="20"/>
        </w:rPr>
        <w:t xml:space="preserve"> </w:t>
      </w:r>
      <w:proofErr w:type="spellStart"/>
      <w:r w:rsidRPr="000F1179">
        <w:rPr>
          <w:rFonts w:ascii="CMR10" w:hAnsi="CMR10" w:cs="CMR10"/>
          <w:color w:val="FF0000"/>
          <w:sz w:val="20"/>
          <w:szCs w:val="20"/>
        </w:rPr>
        <w:t>a_ect</w:t>
      </w:r>
      <w:proofErr w:type="spellEnd"/>
      <w:r w:rsidRPr="000F1179">
        <w:rPr>
          <w:rFonts w:ascii="CMR10" w:hAnsi="CMR10" w:cs="CMR10"/>
          <w:color w:val="FF0000"/>
          <w:sz w:val="20"/>
          <w:szCs w:val="20"/>
        </w:rPr>
        <w:t xml:space="preserve"> the combined uncertainty of some nonlinear</w:t>
      </w:r>
    </w:p>
    <w:p w:rsidR="00244A38" w:rsidRPr="000F1179" w:rsidRDefault="00244A38" w:rsidP="00244A3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0"/>
          <w:szCs w:val="20"/>
        </w:rPr>
      </w:pPr>
      <w:r w:rsidRPr="000F1179">
        <w:rPr>
          <w:rFonts w:ascii="CMR10" w:hAnsi="CMR10" w:cs="CMR10"/>
          <w:color w:val="FF0000"/>
          <w:sz w:val="20"/>
          <w:szCs w:val="20"/>
        </w:rPr>
        <w:t>DUT measurements, including those involving cross-frequency terms such as behavioural models</w:t>
      </w:r>
    </w:p>
    <w:p w:rsidR="00127FB6" w:rsidRPr="000F1179" w:rsidRDefault="00244A38" w:rsidP="00244A38">
      <w:pPr>
        <w:rPr>
          <w:rFonts w:ascii="CMR10" w:hAnsi="CMR10" w:cs="CMR10"/>
          <w:color w:val="FF0000"/>
          <w:sz w:val="20"/>
          <w:szCs w:val="20"/>
        </w:rPr>
      </w:pPr>
      <w:r w:rsidRPr="000F1179">
        <w:rPr>
          <w:rFonts w:ascii="CMR10" w:hAnsi="CMR10" w:cs="CMR10"/>
          <w:color w:val="FF0000"/>
          <w:sz w:val="20"/>
          <w:szCs w:val="20"/>
        </w:rPr>
        <w:t>described later in Chapter 5. CLARIFY QUANTITIES</w:t>
      </w:r>
    </w:p>
    <w:p w:rsidR="00244A38" w:rsidRPr="000F1179" w:rsidRDefault="00244A38" w:rsidP="00244A38">
      <w:pPr>
        <w:rPr>
          <w:rFonts w:ascii="CMR10" w:hAnsi="CMR10" w:cs="CMR10"/>
          <w:color w:val="FF0000"/>
          <w:sz w:val="20"/>
          <w:szCs w:val="20"/>
        </w:rPr>
      </w:pPr>
      <w:r w:rsidRPr="000F1179">
        <w:rPr>
          <w:rFonts w:ascii="CMR10" w:hAnsi="CMR10" w:cs="CMR10"/>
          <w:color w:val="FF0000"/>
          <w:sz w:val="20"/>
          <w:szCs w:val="20"/>
        </w:rPr>
        <w:t>Therefore, for this project two phase references were taken to NIST and re-characterised – COMMENT ON RESULT COMPARED TO KS</w:t>
      </w:r>
    </w:p>
    <w:p w:rsidR="00244A38" w:rsidRPr="000F1179" w:rsidRDefault="00244A38" w:rsidP="00244A38">
      <w:pPr>
        <w:rPr>
          <w:rFonts w:ascii="CMR10" w:hAnsi="CMR10" w:cs="CMR10"/>
          <w:color w:val="FF0000"/>
          <w:sz w:val="20"/>
          <w:szCs w:val="20"/>
        </w:rPr>
      </w:pPr>
      <w:r w:rsidRPr="000F1179">
        <w:rPr>
          <w:rFonts w:ascii="CMR10" w:hAnsi="CMR10" w:cs="CMR10"/>
          <w:color w:val="FF0000"/>
          <w:sz w:val="20"/>
          <w:szCs w:val="20"/>
        </w:rPr>
        <w:t>This _</w:t>
      </w:r>
      <w:proofErr w:type="spellStart"/>
      <w:r w:rsidRPr="000F1179">
        <w:rPr>
          <w:rFonts w:ascii="CMR10" w:hAnsi="CMR10" w:cs="CMR10"/>
          <w:color w:val="FF0000"/>
          <w:sz w:val="20"/>
          <w:szCs w:val="20"/>
        </w:rPr>
        <w:t>gure</w:t>
      </w:r>
      <w:proofErr w:type="spellEnd"/>
      <w:r w:rsidRPr="000F1179">
        <w:rPr>
          <w:rFonts w:ascii="CMR10" w:hAnsi="CMR10" w:cs="CMR10"/>
          <w:color w:val="FF0000"/>
          <w:sz w:val="20"/>
          <w:szCs w:val="20"/>
        </w:rPr>
        <w:t xml:space="preserve"> is used with permission from a report produced by Gustavo Avolio MENTION HIS HERITAGE</w:t>
      </w:r>
    </w:p>
    <w:p w:rsidR="00244A38" w:rsidRPr="00736A81" w:rsidRDefault="00244A38" w:rsidP="00244A3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0"/>
          <w:szCs w:val="20"/>
        </w:rPr>
      </w:pPr>
      <w:r w:rsidRPr="00736A81">
        <w:rPr>
          <w:rFonts w:ascii="CMR10" w:hAnsi="CMR10" w:cs="CMR10"/>
          <w:color w:val="FF0000"/>
          <w:sz w:val="20"/>
          <w:szCs w:val="20"/>
        </w:rPr>
        <w:t xml:space="preserve">Figure shows a screenshot of the MUF software </w:t>
      </w:r>
      <w:r w:rsidRPr="00736A81">
        <w:rPr>
          <w:rFonts w:ascii="CMBX10" w:hAnsi="CMBX10" w:cs="CMBX10"/>
          <w:color w:val="FF0000"/>
          <w:sz w:val="20"/>
          <w:szCs w:val="20"/>
        </w:rPr>
        <w:t xml:space="preserve">VNA Uncertainty Calculator </w:t>
      </w:r>
      <w:r w:rsidRPr="00736A81">
        <w:rPr>
          <w:rFonts w:ascii="CMR10" w:hAnsi="CMR10" w:cs="CMR10"/>
          <w:color w:val="FF0000"/>
          <w:sz w:val="20"/>
          <w:szCs w:val="20"/>
        </w:rPr>
        <w:t>with the</w:t>
      </w:r>
    </w:p>
    <w:p w:rsidR="00244A38" w:rsidRPr="00736A81" w:rsidRDefault="00244A38" w:rsidP="00244A38">
      <w:pPr>
        <w:rPr>
          <w:rFonts w:ascii="CMR10" w:hAnsi="CMR10" w:cs="CMR10"/>
          <w:color w:val="FF0000"/>
          <w:sz w:val="20"/>
          <w:szCs w:val="20"/>
        </w:rPr>
      </w:pPr>
      <w:r w:rsidRPr="00736A81">
        <w:rPr>
          <w:rFonts w:ascii="CMR10" w:hAnsi="CMR10" w:cs="CMR10"/>
          <w:color w:val="FF0000"/>
          <w:sz w:val="20"/>
          <w:szCs w:val="20"/>
        </w:rPr>
        <w:t>LSNA tab open.</w:t>
      </w:r>
    </w:p>
    <w:p w:rsidR="00244A38" w:rsidRDefault="00244A38" w:rsidP="00244A38">
      <w:pPr>
        <w:rPr>
          <w:rFonts w:ascii="CMR10" w:hAnsi="CMR10" w:cs="CMR10"/>
          <w:sz w:val="20"/>
          <w:szCs w:val="20"/>
        </w:rPr>
      </w:pPr>
    </w:p>
    <w:p w:rsidR="00244A38" w:rsidRPr="00736A81" w:rsidRDefault="00244A38" w:rsidP="00244A3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0"/>
          <w:szCs w:val="20"/>
        </w:rPr>
      </w:pPr>
      <w:r w:rsidRPr="00736A81">
        <w:rPr>
          <w:rFonts w:ascii="CMR10" w:hAnsi="CMR10" w:cs="CMR10"/>
          <w:color w:val="FF0000"/>
          <w:sz w:val="20"/>
          <w:szCs w:val="20"/>
        </w:rPr>
        <w:t>We shall _</w:t>
      </w:r>
      <w:proofErr w:type="spellStart"/>
      <w:r w:rsidRPr="00736A81">
        <w:rPr>
          <w:rFonts w:ascii="CMR10" w:hAnsi="CMR10" w:cs="CMR10"/>
          <w:color w:val="FF0000"/>
          <w:sz w:val="20"/>
          <w:szCs w:val="20"/>
        </w:rPr>
        <w:t>rst</w:t>
      </w:r>
      <w:proofErr w:type="spellEnd"/>
      <w:r w:rsidRPr="00736A81">
        <w:rPr>
          <w:rFonts w:ascii="CMR10" w:hAnsi="CMR10" w:cs="CMR10"/>
          <w:color w:val="FF0000"/>
          <w:sz w:val="20"/>
          <w:szCs w:val="20"/>
        </w:rPr>
        <w:t xml:space="preserve"> introduce a generic frequency-domain model of the nonlinear device, illustrated in</w:t>
      </w:r>
    </w:p>
    <w:p w:rsidR="00244A38" w:rsidRPr="00736A81" w:rsidRDefault="00244A38" w:rsidP="00244A38">
      <w:pPr>
        <w:rPr>
          <w:rFonts w:ascii="CMR10" w:hAnsi="CMR10" w:cs="CMR10"/>
          <w:color w:val="FF0000"/>
          <w:sz w:val="20"/>
          <w:szCs w:val="20"/>
        </w:rPr>
      </w:pPr>
      <w:r w:rsidRPr="00736A81">
        <w:rPr>
          <w:rFonts w:ascii="CMR10" w:hAnsi="CMR10" w:cs="CMR10"/>
          <w:color w:val="FF0000"/>
          <w:sz w:val="20"/>
          <w:szCs w:val="20"/>
        </w:rPr>
        <w:t>Figure X</w:t>
      </w:r>
    </w:p>
    <w:p w:rsidR="00244A38" w:rsidRPr="00D7242B" w:rsidRDefault="00244A38" w:rsidP="00244A3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0"/>
          <w:szCs w:val="20"/>
        </w:rPr>
      </w:pPr>
      <w:r w:rsidRPr="00D7242B">
        <w:rPr>
          <w:rFonts w:ascii="CMR10" w:hAnsi="CMR10" w:cs="CMR10"/>
          <w:color w:val="FF0000"/>
          <w:sz w:val="20"/>
          <w:szCs w:val="20"/>
        </w:rPr>
        <w:t xml:space="preserve">(via network and tested across the Atlantic!) – MAKE </w:t>
      </w:r>
      <w:r w:rsidR="009D6FAC" w:rsidRPr="00D7242B">
        <w:rPr>
          <w:rFonts w:ascii="CMR10" w:hAnsi="CMR10" w:cs="CMR10"/>
          <w:color w:val="FF0000"/>
          <w:sz w:val="20"/>
          <w:szCs w:val="20"/>
        </w:rPr>
        <w:t>A PROFESSIONAL POINT</w:t>
      </w:r>
    </w:p>
    <w:p w:rsidR="009D6FAC" w:rsidRDefault="009D6FAC" w:rsidP="00244A3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9D6FAC" w:rsidRPr="00736A81" w:rsidRDefault="009D6FAC" w:rsidP="00244A3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0"/>
          <w:szCs w:val="20"/>
        </w:rPr>
      </w:pPr>
      <w:r w:rsidRPr="00736A81">
        <w:rPr>
          <w:rFonts w:ascii="CMR10" w:hAnsi="CMR10" w:cs="CMR10"/>
          <w:color w:val="FF0000"/>
          <w:sz w:val="20"/>
          <w:szCs w:val="20"/>
        </w:rPr>
        <w:t>The evaluation board used 2.92 mm precision connectors, REMOVE 2.92 MM!</w:t>
      </w:r>
    </w:p>
    <w:p w:rsidR="009D6FAC" w:rsidRDefault="009D6FAC" w:rsidP="00244A3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9D6FAC" w:rsidRPr="008646CF" w:rsidRDefault="009D6FAC" w:rsidP="009D6FA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0"/>
          <w:szCs w:val="20"/>
        </w:rPr>
      </w:pPr>
      <w:r w:rsidRPr="008646CF">
        <w:rPr>
          <w:rFonts w:ascii="CMR10" w:hAnsi="CMR10" w:cs="CMR10"/>
          <w:color w:val="FF0000"/>
          <w:sz w:val="20"/>
          <w:szCs w:val="20"/>
        </w:rPr>
        <w:t xml:space="preserve">The </w:t>
      </w:r>
      <w:proofErr w:type="gramStart"/>
      <w:r w:rsidRPr="008646CF">
        <w:rPr>
          <w:rFonts w:ascii="CMR10" w:hAnsi="CMR10" w:cs="CMR10"/>
          <w:color w:val="FF0000"/>
          <w:sz w:val="20"/>
          <w:szCs w:val="20"/>
        </w:rPr>
        <w:t>two phase</w:t>
      </w:r>
      <w:proofErr w:type="gramEnd"/>
      <w:r w:rsidRPr="008646CF">
        <w:rPr>
          <w:rFonts w:ascii="CMR10" w:hAnsi="CMR10" w:cs="CMR10"/>
          <w:color w:val="FF0000"/>
          <w:sz w:val="20"/>
          <w:szCs w:val="20"/>
        </w:rPr>
        <w:t xml:space="preserve"> references used for both calibration and synchronisation of the mixer-based</w:t>
      </w:r>
    </w:p>
    <w:p w:rsidR="009D6FAC" w:rsidRPr="008646CF" w:rsidRDefault="009D6FAC" w:rsidP="009D6FA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0"/>
          <w:szCs w:val="20"/>
        </w:rPr>
      </w:pPr>
      <w:r w:rsidRPr="008646CF">
        <w:rPr>
          <w:rFonts w:ascii="CMR10" w:hAnsi="CMR10" w:cs="CMR10"/>
          <w:color w:val="FF0000"/>
          <w:sz w:val="20"/>
          <w:szCs w:val="20"/>
        </w:rPr>
        <w:t xml:space="preserve">NVNA were Keysight 67 GHz comb </w:t>
      </w:r>
      <w:proofErr w:type="gramStart"/>
      <w:r w:rsidRPr="008646CF">
        <w:rPr>
          <w:rFonts w:ascii="CMR10" w:hAnsi="CMR10" w:cs="CMR10"/>
          <w:color w:val="FF0000"/>
          <w:sz w:val="20"/>
          <w:szCs w:val="20"/>
        </w:rPr>
        <w:t>generators[</w:t>
      </w:r>
      <w:proofErr w:type="gramEnd"/>
      <w:r w:rsidRPr="008646CF">
        <w:rPr>
          <w:rFonts w:ascii="CMR10" w:hAnsi="CMR10" w:cs="CMR10"/>
          <w:color w:val="FF0000"/>
          <w:sz w:val="20"/>
          <w:szCs w:val="20"/>
        </w:rPr>
        <w:t>134]. The phase uncertainties for the calibration</w:t>
      </w:r>
    </w:p>
    <w:p w:rsidR="009D6FAC" w:rsidRPr="008646CF" w:rsidRDefault="009D6FAC" w:rsidP="009D6FA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0"/>
          <w:szCs w:val="20"/>
        </w:rPr>
      </w:pPr>
      <w:r w:rsidRPr="008646CF">
        <w:rPr>
          <w:rFonts w:ascii="CMR10" w:hAnsi="CMR10" w:cs="CMR10"/>
          <w:color w:val="FF0000"/>
          <w:sz w:val="20"/>
          <w:szCs w:val="20"/>
        </w:rPr>
        <w:t xml:space="preserve">phase reference </w:t>
      </w:r>
      <w:proofErr w:type="gramStart"/>
      <w:r w:rsidRPr="008646CF">
        <w:rPr>
          <w:rFonts w:ascii="CMR10" w:hAnsi="CMR10" w:cs="CMR10"/>
          <w:color w:val="FF0000"/>
          <w:sz w:val="20"/>
          <w:szCs w:val="20"/>
        </w:rPr>
        <w:t>are</w:t>
      </w:r>
      <w:proofErr w:type="gramEnd"/>
      <w:r w:rsidRPr="008646CF">
        <w:rPr>
          <w:rFonts w:ascii="CMR10" w:hAnsi="CMR10" w:cs="CMR10"/>
          <w:color w:val="FF0000"/>
          <w:sz w:val="20"/>
          <w:szCs w:val="20"/>
        </w:rPr>
        <w:t xml:space="preserve"> given in Table 5.3 and were obtained through characterization with a sampling</w:t>
      </w:r>
    </w:p>
    <w:p w:rsidR="009D6FAC" w:rsidRPr="008646CF" w:rsidRDefault="009D6FAC" w:rsidP="009D6FA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0"/>
          <w:szCs w:val="20"/>
        </w:rPr>
      </w:pPr>
      <w:r w:rsidRPr="008646CF">
        <w:rPr>
          <w:rFonts w:ascii="CMR10" w:hAnsi="CMR10" w:cs="CMR10"/>
          <w:color w:val="FF0000"/>
          <w:sz w:val="20"/>
          <w:szCs w:val="20"/>
        </w:rPr>
        <w:t>oscilloscope at NIST, which is traceable to national measurement standards via electro-optic – REFERENCE NIST TRIP</w:t>
      </w:r>
    </w:p>
    <w:p w:rsidR="009D6FAC" w:rsidRDefault="009D6FAC" w:rsidP="009D6FA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8D7372" w:rsidRPr="0076039A" w:rsidRDefault="008D7372" w:rsidP="008D737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0"/>
          <w:szCs w:val="20"/>
        </w:rPr>
      </w:pPr>
      <w:r w:rsidRPr="0076039A">
        <w:rPr>
          <w:rFonts w:ascii="CMR10" w:hAnsi="CMR10" w:cs="CMR10"/>
          <w:color w:val="FF0000"/>
          <w:sz w:val="20"/>
          <w:szCs w:val="20"/>
        </w:rPr>
        <w:t xml:space="preserve">In this example we used Monte Carlo with 1000 samples to propagate uncertainty to the </w:t>
      </w:r>
      <w:proofErr w:type="spellStart"/>
      <w:r w:rsidRPr="0076039A">
        <w:rPr>
          <w:rFonts w:ascii="CMR10" w:hAnsi="CMR10" w:cs="CMR10"/>
          <w:color w:val="FF0000"/>
          <w:sz w:val="20"/>
          <w:szCs w:val="20"/>
        </w:rPr>
        <w:t>Xparameters</w:t>
      </w:r>
      <w:proofErr w:type="spellEnd"/>
    </w:p>
    <w:p w:rsidR="008D7372" w:rsidRPr="0076039A" w:rsidRDefault="008D7372" w:rsidP="008D737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0"/>
          <w:szCs w:val="20"/>
        </w:rPr>
      </w:pPr>
      <w:r w:rsidRPr="0076039A">
        <w:rPr>
          <w:rFonts w:ascii="CMR10" w:hAnsi="CMR10" w:cs="CMR10"/>
          <w:color w:val="FF0000"/>
          <w:sz w:val="20"/>
          <w:szCs w:val="20"/>
        </w:rPr>
        <w:t>of the DUT. – MC METHOD</w:t>
      </w:r>
    </w:p>
    <w:p w:rsidR="008D7372" w:rsidRDefault="008D7372" w:rsidP="008D737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8D7372" w:rsidRPr="0076039A" w:rsidRDefault="008D7372" w:rsidP="008D737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0"/>
          <w:szCs w:val="20"/>
        </w:rPr>
      </w:pPr>
      <w:r w:rsidRPr="0076039A">
        <w:rPr>
          <w:rFonts w:ascii="CMR10" w:hAnsi="CMR10" w:cs="CMR10"/>
          <w:color w:val="FF0000"/>
          <w:sz w:val="20"/>
          <w:szCs w:val="20"/>
        </w:rPr>
        <w:t xml:space="preserve">Figure </w:t>
      </w:r>
      <w:r w:rsidRPr="0076039A">
        <w:rPr>
          <w:rFonts w:ascii="CMBX10" w:hAnsi="CMBX10" w:cs="CMBX10"/>
          <w:color w:val="FF0000"/>
          <w:sz w:val="20"/>
          <w:szCs w:val="20"/>
        </w:rPr>
        <w:t xml:space="preserve">?? </w:t>
      </w:r>
      <w:r w:rsidRPr="0076039A">
        <w:rPr>
          <w:rFonts w:ascii="CMR10" w:hAnsi="CMR10" w:cs="CMR10"/>
          <w:color w:val="FF0000"/>
          <w:sz w:val="20"/>
          <w:szCs w:val="20"/>
        </w:rPr>
        <w:t>shows</w:t>
      </w:r>
    </w:p>
    <w:p w:rsidR="008D7372" w:rsidRDefault="008D7372" w:rsidP="008D737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8D7372" w:rsidRPr="0076039A" w:rsidRDefault="008D7372" w:rsidP="008D737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0"/>
          <w:szCs w:val="20"/>
        </w:rPr>
      </w:pPr>
      <w:r w:rsidRPr="0076039A">
        <w:rPr>
          <w:rFonts w:ascii="CMR10" w:hAnsi="CMR10" w:cs="CMR10"/>
          <w:color w:val="FF0000"/>
          <w:sz w:val="20"/>
          <w:szCs w:val="20"/>
        </w:rPr>
        <w:t>A world-first, rigorous evaluation of combined standard uncertainty – REMOVE COMB STD</w:t>
      </w:r>
    </w:p>
    <w:p w:rsidR="008D7372" w:rsidRDefault="008D7372" w:rsidP="008D737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8D7372" w:rsidRDefault="008D7372" w:rsidP="008D737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8D7372" w:rsidRPr="00932E78" w:rsidRDefault="008D7372" w:rsidP="008D737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0"/>
          <w:szCs w:val="20"/>
        </w:rPr>
      </w:pPr>
      <w:r w:rsidRPr="00932E78">
        <w:rPr>
          <w:rFonts w:ascii="CMR10" w:hAnsi="CMR10" w:cs="CMR10"/>
          <w:color w:val="FF0000"/>
          <w:sz w:val="20"/>
          <w:szCs w:val="20"/>
        </w:rPr>
        <w:t>MENTION CH 1 AND 2 IN CONC</w:t>
      </w:r>
    </w:p>
    <w:p w:rsidR="008D7372" w:rsidRDefault="008D7372" w:rsidP="008D737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8D7372" w:rsidRPr="006520D3" w:rsidRDefault="008728DB" w:rsidP="008728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0"/>
          <w:szCs w:val="20"/>
        </w:rPr>
      </w:pPr>
      <w:r w:rsidRPr="006520D3">
        <w:rPr>
          <w:rFonts w:ascii="CMR10" w:hAnsi="CMR10" w:cs="CMR10"/>
          <w:color w:val="FF0000"/>
          <w:sz w:val="20"/>
          <w:szCs w:val="20"/>
        </w:rPr>
        <w:t>Future wireless communications are planned to use frequencies of 26 GHz and above (mention E-band)</w:t>
      </w:r>
    </w:p>
    <w:p w:rsidR="00D84E3B" w:rsidRDefault="00D84E3B" w:rsidP="008728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D84E3B" w:rsidRPr="006520D3" w:rsidRDefault="00D84E3B" w:rsidP="00D84E3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0"/>
          <w:szCs w:val="20"/>
        </w:rPr>
      </w:pPr>
      <w:r w:rsidRPr="006520D3">
        <w:rPr>
          <w:rFonts w:ascii="CMR10" w:hAnsi="CMR10" w:cs="CMR10"/>
          <w:color w:val="FF0000"/>
          <w:sz w:val="20"/>
          <w:szCs w:val="20"/>
        </w:rPr>
        <w:t>The NIST Microwave Uncertainty Framework was introduced as an established and proven base – ADD SECONDMENT INFO AGAIN</w:t>
      </w:r>
    </w:p>
    <w:p w:rsidR="00D84E3B" w:rsidRDefault="00D84E3B" w:rsidP="00D84E3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D84E3B" w:rsidRPr="006520D3" w:rsidRDefault="00D84E3B" w:rsidP="00D84E3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0"/>
          <w:szCs w:val="20"/>
        </w:rPr>
      </w:pPr>
      <w:r w:rsidRPr="006520D3">
        <w:rPr>
          <w:rFonts w:ascii="CMR10" w:hAnsi="CMR10" w:cs="CMR10"/>
          <w:color w:val="FF0000"/>
          <w:sz w:val="20"/>
          <w:szCs w:val="20"/>
        </w:rPr>
        <w:t>This is expected as the uncertainty of the phase reference characterisation increased with</w:t>
      </w:r>
    </w:p>
    <w:p w:rsidR="00D84E3B" w:rsidRPr="006520D3" w:rsidRDefault="00D84E3B" w:rsidP="00D84E3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0"/>
          <w:szCs w:val="20"/>
        </w:rPr>
      </w:pPr>
      <w:r w:rsidRPr="006520D3">
        <w:rPr>
          <w:rFonts w:ascii="CMR10" w:hAnsi="CMR10" w:cs="CMR10"/>
          <w:color w:val="FF0000"/>
          <w:sz w:val="20"/>
          <w:szCs w:val="20"/>
        </w:rPr>
        <w:t>Frequency – AS WELL AS OTHER SOURCES</w:t>
      </w:r>
    </w:p>
    <w:p w:rsidR="00D84E3B" w:rsidRDefault="00D84E3B" w:rsidP="00D84E3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D84E3B" w:rsidRPr="006520D3" w:rsidRDefault="00D84E3B" w:rsidP="00D84E3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0"/>
          <w:szCs w:val="20"/>
        </w:rPr>
      </w:pPr>
      <w:r w:rsidRPr="006520D3">
        <w:rPr>
          <w:rFonts w:ascii="CMR10" w:hAnsi="CMR10" w:cs="CMR10"/>
          <w:color w:val="FF0000"/>
          <w:sz w:val="20"/>
          <w:szCs w:val="20"/>
        </w:rPr>
        <w:t>The ripple technique work – WAVEGUIDE UNC EVAL</w:t>
      </w:r>
    </w:p>
    <w:p w:rsidR="00D84E3B" w:rsidRPr="006520D3" w:rsidRDefault="00D84E3B" w:rsidP="00D84E3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0"/>
          <w:szCs w:val="20"/>
        </w:rPr>
      </w:pPr>
      <w:r w:rsidRPr="006520D3">
        <w:rPr>
          <w:rFonts w:ascii="CMR10" w:hAnsi="CMR10" w:cs="CMR10"/>
          <w:color w:val="FF0000"/>
          <w:sz w:val="20"/>
          <w:szCs w:val="20"/>
        </w:rPr>
        <w:t>repeat the evaluation of the ripple technique SEE ABOVE</w:t>
      </w:r>
    </w:p>
    <w:p w:rsidR="00D84E3B" w:rsidRDefault="00D84E3B" w:rsidP="00D84E3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D84E3B" w:rsidRPr="006520D3" w:rsidRDefault="00A475FE" w:rsidP="00D84E3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0"/>
          <w:szCs w:val="20"/>
        </w:rPr>
      </w:pPr>
      <w:r w:rsidRPr="006520D3">
        <w:rPr>
          <w:rFonts w:ascii="CMR10" w:hAnsi="CMR10" w:cs="CMR10"/>
          <w:color w:val="FF0000"/>
          <w:sz w:val="20"/>
          <w:szCs w:val="20"/>
        </w:rPr>
        <w:t>The Cardiff model – REFERENCE</w:t>
      </w:r>
    </w:p>
    <w:p w:rsidR="00A475FE" w:rsidRDefault="00A475FE" w:rsidP="00D84E3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A475FE" w:rsidRPr="006520D3" w:rsidRDefault="00324F82" w:rsidP="00324F8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0"/>
          <w:szCs w:val="20"/>
        </w:rPr>
      </w:pPr>
      <w:r w:rsidRPr="006520D3">
        <w:rPr>
          <w:rFonts w:ascii="CMR10" w:hAnsi="CMR10" w:cs="CMR10"/>
          <w:color w:val="FF0000"/>
          <w:sz w:val="20"/>
          <w:szCs w:val="20"/>
        </w:rPr>
        <w:t>On-wafer DUTs can also be included, using both calibration de-embedding techniques or the developing on-wafer absolute calibration standards – REFERENCE</w:t>
      </w:r>
    </w:p>
    <w:p w:rsidR="00324F82" w:rsidRDefault="00324F82" w:rsidP="00324F8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24F82" w:rsidRPr="00DC406B" w:rsidRDefault="00324F82" w:rsidP="00324F8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0"/>
          <w:szCs w:val="20"/>
        </w:rPr>
      </w:pPr>
      <w:r w:rsidRPr="00DC406B">
        <w:rPr>
          <w:rFonts w:ascii="CMR10" w:hAnsi="CMR10" w:cs="CMR10"/>
          <w:color w:val="FF0000"/>
          <w:sz w:val="20"/>
          <w:szCs w:val="20"/>
        </w:rPr>
        <w:t>The repeatability of behavioural model extraction, comparing the uncertainties in model</w:t>
      </w:r>
    </w:p>
    <w:p w:rsidR="00324F82" w:rsidRPr="00DC406B" w:rsidRDefault="00324F82" w:rsidP="00324F8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0"/>
          <w:szCs w:val="20"/>
        </w:rPr>
      </w:pPr>
      <w:r w:rsidRPr="00DC406B">
        <w:rPr>
          <w:rFonts w:ascii="CMR10" w:hAnsi="CMR10" w:cs="CMR10"/>
          <w:color w:val="FF0000"/>
          <w:sz w:val="20"/>
          <w:szCs w:val="20"/>
        </w:rPr>
        <w:t>parameters extracted from the same DUT at different labs – REPRODUCABILITY, MENTION ISO-5725</w:t>
      </w:r>
    </w:p>
    <w:p w:rsidR="00324F82" w:rsidRDefault="00324F82" w:rsidP="00324F8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24F82" w:rsidRPr="00DC406B" w:rsidRDefault="00324F82" w:rsidP="00324F8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0"/>
          <w:szCs w:val="20"/>
        </w:rPr>
      </w:pPr>
      <w:r w:rsidRPr="00DC406B">
        <w:rPr>
          <w:rFonts w:ascii="CMR10" w:hAnsi="CMR10" w:cs="CMR10"/>
          <w:color w:val="FF0000"/>
          <w:sz w:val="20"/>
          <w:szCs w:val="20"/>
        </w:rPr>
        <w:t>Repeatability studies are commonly used by NMIs to measure the variation in measurements across laboratories – AND INDUSTRY!</w:t>
      </w:r>
    </w:p>
    <w:p w:rsidR="00324F82" w:rsidRDefault="00324F82" w:rsidP="00324F8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24F82" w:rsidRPr="00DC406B" w:rsidRDefault="009F141B" w:rsidP="009F141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0"/>
          <w:szCs w:val="20"/>
        </w:rPr>
      </w:pPr>
      <w:r w:rsidRPr="00DC406B">
        <w:rPr>
          <w:rFonts w:ascii="CMR10" w:hAnsi="CMR10" w:cs="CMR10"/>
          <w:color w:val="FF0000"/>
          <w:sz w:val="20"/>
          <w:szCs w:val="20"/>
        </w:rPr>
        <w:t xml:space="preserve">Finally, an evaluation of behavioural model uncertainty using analytical propagation should be straightforward to develop, which can provide further </w:t>
      </w:r>
      <w:proofErr w:type="spellStart"/>
      <w:r w:rsidRPr="00DC406B">
        <w:rPr>
          <w:rFonts w:ascii="CMR10" w:hAnsi="CMR10" w:cs="CMR10"/>
          <w:color w:val="FF0000"/>
          <w:sz w:val="20"/>
          <w:szCs w:val="20"/>
        </w:rPr>
        <w:t>veri_cation</w:t>
      </w:r>
      <w:proofErr w:type="spellEnd"/>
      <w:r w:rsidRPr="00DC406B">
        <w:rPr>
          <w:rFonts w:ascii="CMR10" w:hAnsi="CMR10" w:cs="CMR10"/>
          <w:color w:val="FF0000"/>
          <w:sz w:val="20"/>
          <w:szCs w:val="20"/>
        </w:rPr>
        <w:t xml:space="preserve"> against the numerical method presented here. RELATIVELY STRAIGHTFORWARD</w:t>
      </w:r>
    </w:p>
    <w:p w:rsidR="00420A1B" w:rsidRDefault="00420A1B" w:rsidP="009F141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bookmarkStart w:id="0" w:name="_GoBack"/>
      <w:bookmarkEnd w:id="0"/>
    </w:p>
    <w:p w:rsidR="00420A1B" w:rsidRPr="0076039A" w:rsidRDefault="00420A1B" w:rsidP="009F141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0"/>
          <w:szCs w:val="20"/>
        </w:rPr>
      </w:pPr>
      <w:proofErr w:type="spellStart"/>
      <w:r w:rsidRPr="0076039A">
        <w:rPr>
          <w:rFonts w:ascii="CMR10" w:hAnsi="CMR10" w:cs="CMR10"/>
          <w:color w:val="FF0000"/>
          <w:sz w:val="20"/>
          <w:szCs w:val="20"/>
        </w:rPr>
        <w:t>Ginleyt</w:t>
      </w:r>
      <w:proofErr w:type="spellEnd"/>
      <w:r w:rsidR="00E87C24" w:rsidRPr="0076039A">
        <w:rPr>
          <w:rFonts w:ascii="CMR10" w:hAnsi="CMR10" w:cs="CMR10"/>
          <w:color w:val="FF0000"/>
          <w:sz w:val="20"/>
          <w:szCs w:val="20"/>
        </w:rPr>
        <w:t xml:space="preserve"> ref error</w:t>
      </w:r>
    </w:p>
    <w:p w:rsidR="00DD0102" w:rsidRDefault="00DD0102" w:rsidP="009F141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DD0102" w:rsidRDefault="00DD0102" w:rsidP="009F141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Add closing statement</w:t>
      </w:r>
      <w:r w:rsidR="009E4342">
        <w:rPr>
          <w:rFonts w:ascii="CMR10" w:hAnsi="CMR10" w:cs="CMR10"/>
          <w:sz w:val="20"/>
          <w:szCs w:val="20"/>
        </w:rPr>
        <w:t>?</w:t>
      </w:r>
    </w:p>
    <w:p w:rsidR="00D84E3B" w:rsidRPr="009D6FAC" w:rsidRDefault="00D84E3B" w:rsidP="00D84E3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sectPr w:rsidR="00D84E3B" w:rsidRPr="009D6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944CF"/>
    <w:multiLevelType w:val="hybridMultilevel"/>
    <w:tmpl w:val="10EC85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95C"/>
    <w:rsid w:val="000F1179"/>
    <w:rsid w:val="00127FB6"/>
    <w:rsid w:val="00244A38"/>
    <w:rsid w:val="00324F82"/>
    <w:rsid w:val="003902DF"/>
    <w:rsid w:val="00420A1B"/>
    <w:rsid w:val="006520D3"/>
    <w:rsid w:val="006F11B8"/>
    <w:rsid w:val="00736A81"/>
    <w:rsid w:val="0076039A"/>
    <w:rsid w:val="008646CF"/>
    <w:rsid w:val="008728DB"/>
    <w:rsid w:val="0087386F"/>
    <w:rsid w:val="008C2A76"/>
    <w:rsid w:val="008D7372"/>
    <w:rsid w:val="0090595C"/>
    <w:rsid w:val="00932E78"/>
    <w:rsid w:val="009771FC"/>
    <w:rsid w:val="009D6FAC"/>
    <w:rsid w:val="009E4342"/>
    <w:rsid w:val="009F141B"/>
    <w:rsid w:val="00A475FE"/>
    <w:rsid w:val="00B473B1"/>
    <w:rsid w:val="00C938A0"/>
    <w:rsid w:val="00D7242B"/>
    <w:rsid w:val="00D84E3B"/>
    <w:rsid w:val="00DC406B"/>
    <w:rsid w:val="00DD0102"/>
    <w:rsid w:val="00E7572E"/>
    <w:rsid w:val="00E8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5AE94-404B-4A0E-AD40-17D43417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2728</TotalTime>
  <Pages>1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Diamond Light Source Limited</Company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Stant, Laurence (DLSLtd,RAL,TEC)</dc:creator>
  <cp:keywords/>
  <dc:description/>
  <cp:lastModifiedBy>Laurence Stant</cp:lastModifiedBy>
  <cp:revision>14</cp:revision>
  <dcterms:created xsi:type="dcterms:W3CDTF">2019-09-20T10:02:00Z</dcterms:created>
  <dcterms:modified xsi:type="dcterms:W3CDTF">2019-09-22T18:13:00Z</dcterms:modified>
</cp:coreProperties>
</file>