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C9B7E" w14:textId="1C7C2908" w:rsidR="00222745" w:rsidRDefault="009A4E28" w:rsidP="001F3C49">
      <w:pPr>
        <w:pStyle w:val="Title"/>
      </w:pPr>
      <w:r>
        <w:t>Measurement Uncertainty</w:t>
      </w:r>
    </w:p>
    <w:p w14:paraId="2F409699" w14:textId="3A24427D" w:rsidR="001F3C49" w:rsidRDefault="00A45FF0" w:rsidP="001F3C49">
      <w:pPr>
        <w:pStyle w:val="Heading1"/>
      </w:pPr>
      <w:r>
        <w:t xml:space="preserve">3.1 </w:t>
      </w:r>
      <w:r w:rsidR="001F3C49">
        <w:t>Introduction</w:t>
      </w:r>
    </w:p>
    <w:p w14:paraId="4DFAA42C" w14:textId="264A973A" w:rsidR="001F3C49" w:rsidRPr="001F3C49" w:rsidRDefault="0039199B" w:rsidP="001F3C49">
      <w:r>
        <w:t>Foreword: Parts of this chapter are based on excerpts</w:t>
      </w:r>
      <w:r w:rsidR="008C278F">
        <w:t xml:space="preserve"> or taken verbatim</w:t>
      </w:r>
      <w:r>
        <w:t xml:space="preserve"> from the </w:t>
      </w:r>
      <w:proofErr w:type="gramStart"/>
      <w:r>
        <w:t>authors</w:t>
      </w:r>
      <w:proofErr w:type="gramEnd"/>
      <w:r>
        <w:t xml:space="preserve"> paper [1].</w:t>
      </w:r>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76608168" w:rsidR="007416E4" w:rsidRDefault="000E0BB6" w:rsidP="001F3C49">
      <w:r>
        <w:t>To</w:t>
      </w:r>
      <w:r w:rsidR="00CF2213">
        <w:t xml:space="preserve"> successfully</w:t>
      </w:r>
      <w:r>
        <w:t xml:space="preserve"> communicate information about a measurement, the recipient needs to be able to either make or mentally construct a similar observation to that of the original measurer (or </w:t>
      </w:r>
      <w:proofErr w:type="spellStart"/>
      <w:r w:rsidRPr="000E0BB6">
        <w:rPr>
          <w:i/>
        </w:rPr>
        <w:t>metrologist</w:t>
      </w:r>
      <w:proofErr w:type="spellEnd"/>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51CB00D0"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 is a system of units. In </w:t>
      </w:r>
      <w:r>
        <w:t>such a</w:t>
      </w:r>
      <w:r w:rsidR="00363C35">
        <w:t xml:space="preserve"> system, a discretised value of a physical effect or quantity is standardised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physical effect o</w:t>
      </w:r>
      <w:r w:rsidR="00417B01">
        <w:t>r</w:t>
      </w:r>
      <w:r w:rsidR="00EB3B57">
        <w:t xml:space="preserve"> 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193F4133" w:rsidR="00417B01" w:rsidRDefault="00131620" w:rsidP="001F3C49">
      <w:pPr>
        <w:pStyle w:val="Caption"/>
      </w:pPr>
      <w:r>
        <w:t xml:space="preserve">Figure </w:t>
      </w:r>
      <w:fldSimple w:instr=" SEQ Figure \* ARABIC ">
        <w:r w:rsidR="00C134D7">
          <w:rPr>
            <w:noProof/>
          </w:rPr>
          <w:t>1</w:t>
        </w:r>
      </w:fldSimple>
      <w:r>
        <w:t>: Egyptian royal cubit rod of Maya (treasurer of King Tutankhamun) 1336 – 1327 BC</w:t>
      </w:r>
      <w:r w:rsidR="00363C35">
        <w:t>.</w:t>
      </w:r>
      <w:r w:rsidR="00DD153A">
        <w:t xml:space="preserve"> The cubit is thought to have been 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71D9EDAF"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distributed far and wide.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tier above. For any produced standard, it should be possible to trace the lineage back to a measurement of the golden standard. This is referred to as a traceability chain</w:t>
      </w:r>
      <w:r w:rsidR="005B0059">
        <w:t xml:space="preserve"> (see Fig. 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lang w:eastAsia="en-GB"/>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073204" w:rsidRDefault="00073204"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073204" w:rsidRDefault="00073204" w:rsidP="001F3C49">
                      <w:r>
                        <w:t>Traceability</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465EF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r w:rsidR="00C67276">
        <w:rPr>
          <w:noProof/>
          <w:lang w:eastAsia="en-GB"/>
        </w:rPr>
        <w:drawing>
          <wp:inline distT="0" distB="0" distL="0" distR="0" wp14:anchorId="177659E0" wp14:editId="04BD1C2B">
            <wp:extent cx="3219450" cy="203835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D083768" w14:textId="034F0B18" w:rsidR="00506D73" w:rsidRDefault="001E2B82" w:rsidP="001F3C49">
      <w:pPr>
        <w:pStyle w:val="Caption"/>
        <w:jc w:val="center"/>
      </w:pPr>
      <w:r>
        <w:t xml:space="preserve">Figure </w:t>
      </w:r>
      <w:fldSimple w:instr=" SEQ Figure \* ARABIC ">
        <w:r w:rsidR="00C134D7">
          <w:rPr>
            <w:noProof/>
          </w:rPr>
          <w:t>2</w:t>
        </w:r>
      </w:fldSimple>
      <w:r>
        <w:t>: The traceability chain.</w:t>
      </w:r>
    </w:p>
    <w:p w14:paraId="34DCFB9A" w14:textId="77777777" w:rsidR="00116803" w:rsidRDefault="00116803" w:rsidP="001F3C49">
      <w:r>
        <w:t>Today, the primary standards are maintained in most countries by a National Measurement Institute (NMI) and co-ordinated by the Bureau of International Weights and Measures (BIPM). To accommodate international trade and compatibility, a routine process of inter-comparisons is undertaken to ensure that the primary standards between countries are agreeable.</w:t>
      </w:r>
    </w:p>
    <w:p w14:paraId="0B9D4922" w14:textId="7D1D3DBD" w:rsidR="00506D73" w:rsidRDefault="00116803" w:rsidP="001F3C49">
      <w:r>
        <w:lastRenderedPageBreak/>
        <w:t xml:space="preserve">Secondary standards are also kept by the NMIs and are calibrated against the primary standard as infrequently as possible. These standards are then used by the NMI to calibrate working standards which are sent to them by manufacturers and research institutes. Another task of each NMI is to investigate </w:t>
      </w:r>
      <w:r w:rsidR="005075BE">
        <w:t xml:space="preserve">new and improved methods of measurement. Secondary standards are also typically used at NMIs </w:t>
      </w:r>
      <w:r w:rsidR="000D3DA5">
        <w:t xml:space="preserve">during </w:t>
      </w:r>
      <w:r w:rsidR="005075BE">
        <w:t>these investigations.</w:t>
      </w:r>
    </w:p>
    <w:p w14:paraId="55D2C7EC" w14:textId="6D699220" w:rsidR="002757CF" w:rsidRDefault="005075BE" w:rsidP="001F3C49">
      <w:r>
        <w:t>Working standards are used by manufacturers in different ways. Instrumentation manufacturers may use the standards to directly calibrate their products before sending it to the customer, while more generally the standards can be used to calibrate test equipment which identifies 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 [2] exist to certify manufacturers and laboratories that demonstrate good measurement practice and use traceable measurements.</w:t>
      </w:r>
    </w:p>
    <w:p w14:paraId="0B54757D" w14:textId="129BF3EF" w:rsidR="009B146C" w:rsidRDefault="009B146C" w:rsidP="001F3C49">
      <w:r>
        <w:t xml:space="preserve">The selection of physical effects and 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(R, </w:t>
      </w:r>
      <w:r w:rsidR="00626193">
        <w:t>o</w:t>
      </w:r>
      <w:r>
        <w:t xml:space="preserve">hms) can be derived from that of voltage (V, </w:t>
      </w:r>
      <w:r w:rsidR="00626193">
        <w:t>v</w:t>
      </w:r>
      <w:r>
        <w:t xml:space="preserve">olts) and current (I, </w:t>
      </w:r>
      <w:r w:rsidR="00626193">
        <w:t>a</w:t>
      </w:r>
      <w:r>
        <w:t>mp</w:t>
      </w:r>
      <w:r w:rsidR="00626193">
        <w:t>ere</w:t>
      </w:r>
      <w:r>
        <w:t xml:space="preserve">s), because R=V/I. </w:t>
      </w:r>
      <w:proofErr w:type="gramStart"/>
      <w:r w:rsidR="00A02874">
        <w:t>The</w:t>
      </w:r>
      <w:r w:rsidR="00626193">
        <w:t xml:space="preserve"> eight fundamental </w:t>
      </w:r>
      <w:r w:rsidR="004F135E">
        <w:t>“</w:t>
      </w:r>
      <w:r w:rsidR="00626193" w:rsidRPr="004F135E">
        <w:t>base</w:t>
      </w:r>
      <w:r w:rsidR="004F135E">
        <w:t>”</w:t>
      </w:r>
      <w:r w:rsidR="00626193">
        <w:t xml:space="preserve"> units which make up the International System of Units (SI), are the metre, kilogram, second, ampere, kelvin, candela and mole.</w:t>
      </w:r>
      <w:proofErr w:type="gramEnd"/>
      <w:r w:rsidR="00626193">
        <w:t xml:space="preserve"> From these unit definitions, it is possible to define any other derived unit in use. NMIs will usually keep secondary standards of most derived quantities which users may wish to calibrate against, which are themselves traceable to one or more primary standards of different units.</w:t>
      </w:r>
      <w:r w:rsidR="001F3C49">
        <w:t xml:space="preserve"> Although traditionally all primary standards were defined by physical artefacts,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currently under review by the BIPM, is the redefinition of four of the SI units </w:t>
      </w:r>
      <w:r w:rsidR="00AE0F08">
        <w:t>(</w:t>
      </w:r>
      <w:r w:rsidR="00A515B8">
        <w:t>the ampere, the kilogram, the kelvin and the mole</w:t>
      </w:r>
      <w:r w:rsidR="00AE0F08">
        <w:t>)</w:t>
      </w:r>
      <w:r w:rsidR="00A515B8">
        <w:t xml:space="preserve"> which may come into effect by May 2019.</w:t>
      </w:r>
    </w:p>
    <w:p w14:paraId="01B750A2" w14:textId="17F68DDC" w:rsidR="00626193" w:rsidRDefault="001F3C49" w:rsidP="001F3C49">
      <w:r w:rsidRPr="001F3C49">
        <w:t xml:space="preserve">What is the difference between a </w:t>
      </w:r>
      <w:proofErr w:type="gramStart"/>
      <w:r w:rsidRPr="001F3C49">
        <w:t>measurement</w:t>
      </w:r>
      <w:proofErr w:type="gramEnd"/>
      <w:r w:rsidRPr="001F3C49">
        <w:t xml:space="preserve"> with good traceability compared to one with poor traceability? If they are traceable to primary standards, then are they not both a correct representation of some value in a unit system? The answer is that confidence in the </w:t>
      </w:r>
      <w:r w:rsidR="000D377E">
        <w:t xml:space="preserve">result of </w:t>
      </w:r>
      <w:r w:rsidRPr="001F3C49">
        <w:t>each measurement may differ, which is caused by measurement uncertainty.</w:t>
      </w:r>
    </w:p>
    <w:p w14:paraId="25D13A9F" w14:textId="03E27CA1" w:rsidR="00D155F1" w:rsidRDefault="00D155F1" w:rsidP="001F3C49">
      <w:r>
        <w:t xml:space="preserve">It is impossible to know the true value of a quantity being measured. Many physical effects are involved during the measurement process, of which </w:t>
      </w:r>
      <w:r w:rsidR="005D08E4">
        <w:t xml:space="preserve">only a few </w:t>
      </w:r>
      <w:r>
        <w:t xml:space="preserve">are useful. All other processes </w:t>
      </w:r>
      <w:r>
        <w:lastRenderedPageBreak/>
        <w:t xml:space="preserve">contribute error to the measurement, causing </w:t>
      </w:r>
      <w:r w:rsidR="0067067C">
        <w:t>a reduction in accuracy (</w:t>
      </w:r>
      <w:r>
        <w:t>the observed value deviat</w:t>
      </w:r>
      <w:r w:rsidR="0067067C">
        <w:t>ing</w:t>
      </w:r>
      <w:r>
        <w:t xml:space="preserve"> from the true value</w:t>
      </w:r>
      <w:r w:rsidR="0067067C">
        <w:t>)</w:t>
      </w:r>
      <w:r>
        <w:t xml:space="preserve">. Typical sources of error in measurement are thermal noise (electronic measurements), parallax (bifocal meter reading), and drift of environmental conditions from those at which a measuring instrument was calibrated. In some </w:t>
      </w:r>
      <w:r w:rsidR="00A513EB">
        <w:t>cases,</w:t>
      </w:r>
      <w:r>
        <w:t xml:space="preserve"> it is possible to quantify and correct for these errors, but there are often many </w:t>
      </w:r>
      <w:r w:rsidR="00A513EB">
        <w:t>sources (some of which contribute very small errors) which cannot be corrected for. This is due either because the error cannot be quantified, or because the value of the error will change over the duration of the measurement process</w:t>
      </w:r>
      <w:r w:rsidR="00AF2C09">
        <w:t xml:space="preserve"> (random errors)</w:t>
      </w:r>
      <w:r w:rsidR="00A513EB">
        <w:t xml:space="preserve">. </w:t>
      </w:r>
      <w:r w:rsidR="00A22914">
        <w:t>Any source of error which cannot be removed from a measurement becomes a source of uncertainty, because the deviation of the measured value from the true value due to this source of error is uncertain.</w:t>
      </w:r>
      <w:r w:rsidR="008E59ED">
        <w:t xml:space="preserve"> If it is possible to quantify the amount of uncertainty in a measurement, then a degree of confidence can be formed about its value.</w:t>
      </w:r>
    </w:p>
    <w:p w14:paraId="77B262A3" w14:textId="23604483" w:rsidR="001F3C49" w:rsidRDefault="00A22914" w:rsidP="001F3C49">
      <w:r>
        <w:t xml:space="preserve">If every measurement has an associated uncertainty in its value, then </w:t>
      </w:r>
      <w:r w:rsidR="008E59ED">
        <w:t>any measurement involving the results of previous measurements will include uncertainty contributions from both measurements. The earlier question can now be answered – measurements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69EA83ED" w:rsidR="00DD7BB4" w:rsidRDefault="00DD7BB4" w:rsidP="001F3C49">
      <w:r>
        <w:t xml:space="preserve">Because the amount of error in a source of uncertainty is unknown, probability </w:t>
      </w:r>
      <w:r w:rsidR="00F40248">
        <w:t xml:space="preserve">and statistical </w:t>
      </w:r>
      <w:r>
        <w:t>theor</w:t>
      </w:r>
      <w:r w:rsidR="00F40248">
        <w:t>ies</w:t>
      </w:r>
      <w:r>
        <w:t xml:space="preserve"> </w:t>
      </w:r>
      <w:r w:rsidR="00F40248">
        <w:t>are</w:t>
      </w:r>
      <w:r>
        <w:t xml:space="preserve"> used to describe the amount of uncertainty associated with it. </w:t>
      </w:r>
      <w:r w:rsidR="0067067C">
        <w:t>By the nature of these theories there are often several methods which can be used to obtain a result, providing different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trade and measurement comparisons within each field, ambiguities 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xml:space="preserve">]. This document was the work of representatives from seven international organisations: the BIPM, the International Organisation of Legal Metrology (OIML), the International </w:t>
      </w:r>
      <w:proofErr w:type="spellStart"/>
      <w:r w:rsidR="00C147AB">
        <w:t>Electrotechnical</w:t>
      </w:r>
      <w:proofErr w:type="spellEnd"/>
      <w:r w:rsidR="00C147AB">
        <w:t xml:space="preserve">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w:t>
      </w:r>
      <w:r w:rsidR="00E8634E">
        <w:lastRenderedPageBreak/>
        <w:t>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proofErr w:type="gramStart"/>
      <w:r w:rsidR="00B47DD2">
        <w:t>,</w:t>
      </w:r>
      <w:r w:rsidR="0039199B">
        <w:t>8</w:t>
      </w:r>
      <w:proofErr w:type="gramEnd"/>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in uncertainty evaluation; Supplement 2 covers the situation where more than one quantity is measured at the same time (multivariate).</w:t>
      </w:r>
    </w:p>
    <w:p w14:paraId="137BFE5F" w14:textId="32EB4182" w:rsidR="00B47DD2" w:rsidRDefault="00B47DD2" w:rsidP="001F3C49">
      <w:r>
        <w:t xml:space="preserve">Throughout this thesis, the methodologies presented in the GUM will be used. </w:t>
      </w:r>
      <w:proofErr w:type="gramStart"/>
      <w:r>
        <w:t xml:space="preserve">The international authority of the guide, developed by the endorsement of the seven international </w:t>
      </w:r>
      <w:r w:rsidR="00404F62">
        <w:t>organisations</w:t>
      </w:r>
      <w:r>
        <w:t xml:space="preserve"> behind it (including the two global standardisation bodies IEC and ISO), gives strong motivation to use it as a basis for a framework to evaluate uncertainty in measurement.</w:t>
      </w:r>
      <w:proofErr w:type="gramEnd"/>
    </w:p>
    <w:p w14:paraId="063CF045" w14:textId="4F28C5A4" w:rsidR="00581C16" w:rsidRDefault="00581C16" w:rsidP="001F3C49">
      <w:r>
        <w:t>This chapter describes the evaluation of uncertainty prescribed in the GUM and highlights an inconsistency in the current version of the GUM and associated documents (which can have a profound effect on electromagnetic measurements). This work was published by the author in 2016 in Measurement (Elsevier) [1].</w:t>
      </w:r>
    </w:p>
    <w:p w14:paraId="09916F6D" w14:textId="5BD8089B" w:rsidR="00404F62" w:rsidRDefault="00A45FF0" w:rsidP="00404F62">
      <w:pPr>
        <w:pStyle w:val="Heading1"/>
      </w:pPr>
      <w:r>
        <w:t xml:space="preserve">3.2 </w:t>
      </w:r>
      <w:r w:rsidR="00404F62">
        <w:t>The Measurement Process</w:t>
      </w:r>
    </w:p>
    <w:p w14:paraId="733099C3" w14:textId="4C98077B" w:rsidR="00223DFA" w:rsidRDefault="00223DFA" w:rsidP="004C772E">
      <w:r>
        <w:t>In contrast to basic evaluations of uncertainty</w:t>
      </w:r>
      <w:r w:rsidR="00A45FF0">
        <w:t>,</w:t>
      </w:r>
      <w:r>
        <w:t xml:space="preserve"> where only repeat measurements of the </w:t>
      </w:r>
      <w:r w:rsidR="00581C16">
        <w:t xml:space="preserve">quantity of interest </w:t>
      </w:r>
      <w:r w:rsidR="00A45FF0">
        <w:t xml:space="preserve">are </w:t>
      </w:r>
      <w:r w:rsidR="00581C16">
        <w:t>analysed</w:t>
      </w:r>
      <w:r w:rsidR="00A45FF0">
        <w:t>, the GUM prescribes a more rigorous approach which models the measurement process and propagates uncertainty through the model</w:t>
      </w:r>
      <w:r w:rsidR="00BE5E24">
        <w:t xml:space="preserve"> to the result (</w:t>
      </w:r>
      <w:proofErr w:type="spellStart"/>
      <w:r w:rsidR="00BE5E24">
        <w:t>measurands</w:t>
      </w:r>
      <w:proofErr w:type="spellEnd"/>
      <w:r w:rsidR="00BE5E24">
        <w:t>)</w:t>
      </w:r>
      <w:r w:rsidR="00A45FF0">
        <w:t xml:space="preserve">. </w:t>
      </w:r>
      <w:r w:rsidR="00CE5A6C">
        <w:t>This allows any uncertainties from previous measurements</w:t>
      </w:r>
      <w:r w:rsidR="00BE5E24">
        <w:t xml:space="preserve">, including those involving standards in the traceability chain, to be correctly 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can be defined as a black box, but this has certain limitations discussed later in Section 3.</w:t>
      </w:r>
      <w:r w:rsidR="00E96603">
        <w:t>5</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w:t>
      </w:r>
      <w:proofErr w:type="spellStart"/>
      <w:r w:rsidR="00BE5E24">
        <w:t>measurands</w:t>
      </w:r>
      <w:proofErr w:type="spellEnd"/>
      <w:r>
        <w:t>.</w:t>
      </w:r>
    </w:p>
    <w:p w14:paraId="379BEC8F" w14:textId="77777777" w:rsidR="00BE5E24" w:rsidRDefault="00223DFA" w:rsidP="00BE5E24">
      <w:pPr>
        <w:pStyle w:val="ListParagraph"/>
        <w:numPr>
          <w:ilvl w:val="0"/>
          <w:numId w:val="1"/>
        </w:numPr>
      </w:pPr>
      <w:r>
        <w:t xml:space="preserve">Determining expanded uncertainty of the </w:t>
      </w:r>
      <w:proofErr w:type="spellStart"/>
      <w:r w:rsidR="00BE5E24">
        <w:t>measurands</w:t>
      </w:r>
      <w:proofErr w:type="spellEnd"/>
      <w:r>
        <w:t>.</w:t>
      </w:r>
    </w:p>
    <w:p w14:paraId="2AC1E88F" w14:textId="216D8D5C" w:rsidR="00BE5E24" w:rsidRDefault="00BE5E24" w:rsidP="00BE5E24">
      <w:r>
        <w:t>Each of these steps will now be explained.</w:t>
      </w:r>
    </w:p>
    <w:p w14:paraId="0673763E" w14:textId="4829D4F6" w:rsidR="00BE5E24" w:rsidRDefault="003676D5" w:rsidP="00BE5E24">
      <w:pPr>
        <w:pStyle w:val="Heading1"/>
      </w:pPr>
      <w:r>
        <w:lastRenderedPageBreak/>
        <w:t>3.2.1</w:t>
      </w:r>
      <w:r w:rsidR="00D9145A">
        <w:t xml:space="preserve"> </w:t>
      </w:r>
      <w:r w:rsidR="00BE5E24">
        <w:t>Modelling the Measurement</w:t>
      </w:r>
    </w:p>
    <w:p w14:paraId="608AEAE8" w14:textId="29E2405E" w:rsidR="00BE5E24" w:rsidRDefault="00805A9E" w:rsidP="00BE5E24">
      <w:r>
        <w:t xml:space="preserve">We can define a set of </w:t>
      </w:r>
      <w:proofErr w:type="spellStart"/>
      <w:r>
        <w:t>measurands</w:t>
      </w:r>
      <w:proofErr w:type="spellEnd"/>
      <w:r>
        <w:t xml:space="preserve"> </w:t>
      </w:r>
      <w:r w:rsidRPr="00805A9E">
        <w:rPr>
          <w:b/>
          <w:i/>
        </w:rPr>
        <w:t>Y</w:t>
      </w:r>
      <w:r>
        <w:t xml:space="preserve"> as a functional relationship depending on </w:t>
      </w:r>
      <w:r>
        <w:rPr>
          <w:i/>
        </w:rPr>
        <w:t>N</w:t>
      </w:r>
      <w:r>
        <w:t xml:space="preserve"> other </w:t>
      </w:r>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proofErr w:type="gramStart"/>
      <w:r w:rsidRPr="00805A9E">
        <w:rPr>
          <w:i/>
        </w:rPr>
        <w:t>,</w:t>
      </w:r>
      <w:r>
        <w:rPr>
          <w:b/>
          <w:i/>
        </w:rPr>
        <w:t xml:space="preserve"> </w:t>
      </w:r>
      <w:r w:rsidRPr="00805A9E">
        <w:rPr>
          <w:i/>
        </w:rPr>
        <w:t>…,</w:t>
      </w:r>
      <w:proofErr w:type="gramEnd"/>
      <w:r>
        <w:rPr>
          <w:b/>
          <w:i/>
        </w:rPr>
        <w:t xml:space="preserve"> </w:t>
      </w:r>
      <w:r w:rsidRPr="00805A9E">
        <w:rPr>
          <w:i/>
        </w:rPr>
        <w:t>X</w:t>
      </w:r>
      <w:r w:rsidRPr="00805A9E">
        <w:rPr>
          <w:i/>
          <w:vertAlign w:val="subscript"/>
        </w:rPr>
        <w:t>N</w:t>
      </w:r>
      <w:r>
        <w:t>:</w:t>
      </w:r>
    </w:p>
    <w:p w14:paraId="6D4244A2" w14:textId="4E721D54" w:rsidR="00805A9E" w:rsidRPr="00D9145A" w:rsidRDefault="00073204"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0CB5A3D4" w:rsidR="00805A9E" w:rsidRDefault="00805A9E" w:rsidP="00BE5E24">
      <w:r>
        <w:t xml:space="preserve">The estimate of the </w:t>
      </w:r>
      <w:proofErr w:type="spellStart"/>
      <w:r>
        <w:t>measurands</w:t>
      </w:r>
      <w:proofErr w:type="spellEnd"/>
      <w:r>
        <w:t xml:space="preserve"> can therefore be found by evaluating the model using the estimates of each input quantit</w:t>
      </w:r>
      <w:r w:rsidR="00C64ED8">
        <w:t>y:</w:t>
      </w:r>
    </w:p>
    <w:p w14:paraId="2F5AC0A7" w14:textId="5FB55DF7" w:rsidR="00C64ED8" w:rsidRPr="00D9145A" w:rsidRDefault="00073204"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7D3AE9D7" w:rsidR="00C64ED8" w:rsidRPr="00C64ED8" w:rsidRDefault="00AF2C09" w:rsidP="00BE5E24">
      <w:pPr>
        <w:rPr>
          <w:rFonts w:eastAsiaTheme="minorEastAsia"/>
        </w:rPr>
      </w:pPr>
      <w:r>
        <w:rPr>
          <w:rFonts w:eastAsiaTheme="minorEastAsia"/>
        </w:rPr>
        <w:t>Each input quantity could either be obtained during this measurement, from a previous measurement, or from another source of information such as a datasheet or specification. An example of a measurement model could be for a temperature measurement, where the functional relationship includes the value observed from the meter</w:t>
      </w:r>
      <w:r w:rsidR="00E96603">
        <w:rPr>
          <w:rFonts w:eastAsiaTheme="minorEastAsia"/>
        </w:rPr>
        <w:t xml:space="preserve">, </w:t>
      </w:r>
      <w:r>
        <w:rPr>
          <w:rFonts w:eastAsiaTheme="minorEastAsia"/>
        </w:rPr>
        <w:t>the</w:t>
      </w:r>
      <w:r w:rsidR="00A06C0F">
        <w:rPr>
          <w:rFonts w:eastAsiaTheme="minorEastAsia"/>
        </w:rPr>
        <w:t xml:space="preserve"> 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correctly included in the evaluation. This is especially true for uncertainties caused by systematic errors, which do not vary during the measurement process, and so cannot be evaluated </w:t>
      </w:r>
      <w:r w:rsidR="00F46E7E">
        <w:rPr>
          <w:rFonts w:eastAsiaTheme="minorEastAsia"/>
        </w:rPr>
        <w:t>purely by performing repeat measurements.</w:t>
      </w:r>
    </w:p>
    <w:p w14:paraId="7E98F455" w14:textId="6C6CFF77" w:rsidR="00F46E7E" w:rsidRDefault="003676D5" w:rsidP="00F46E7E">
      <w:pPr>
        <w:pStyle w:val="Heading1"/>
      </w:pPr>
      <w:r>
        <w:t>3.2.2</w:t>
      </w:r>
      <w:r w:rsidR="00D9145A">
        <w:t xml:space="preserve"> </w:t>
      </w:r>
      <w:r w:rsidR="009A4E28">
        <w:t>Input Quantities</w:t>
      </w:r>
    </w:p>
    <w:p w14:paraId="3EA5B4A6" w14:textId="2319F1EF" w:rsidR="00BE1F43" w:rsidRPr="00BE1F43" w:rsidRDefault="00BE1F43" w:rsidP="00BE1F43">
      <w:r>
        <w:t xml:space="preserve">Components of uncertainty in measurement can be divided into two categories: Category </w:t>
      </w:r>
      <w:proofErr w:type="gramStart"/>
      <w:r>
        <w:t>A</w:t>
      </w:r>
      <w:proofErr w:type="gramEnd"/>
      <w:r>
        <w:t xml:space="preserve"> uncertainty components are those that are evaluated using statistical analysis of a series of observations (i.e. repeats); Category B components are those that are evaluated using other means.</w:t>
      </w:r>
    </w:p>
    <w:p w14:paraId="1FD23ECF" w14:textId="2983710C" w:rsidR="00F46E7E" w:rsidRDefault="0039199B" w:rsidP="001707AE">
      <w:r>
        <w:t xml:space="preserve">The GUM presents methods that include the use of both Bayesian and classical probabilistic methods to evaluate the uncertainty in the input quantities for a measurement model. In particular, classical methods </w:t>
      </w:r>
      <w:r w:rsidR="00040CE0">
        <w:t xml:space="preserve">[10] </w:t>
      </w:r>
      <w:r>
        <w:t xml:space="preserve">are used for the treatment of Category </w:t>
      </w:r>
      <w:proofErr w:type="gramStart"/>
      <w:r>
        <w:t>A</w:t>
      </w:r>
      <w:proofErr w:type="gramEnd"/>
      <w:r>
        <w:t xml:space="preserve">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Since the publication of the 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p>
    <w:p w14:paraId="61FC6FB0" w14:textId="0CF0A59C" w:rsidR="0035209F" w:rsidRDefault="0035209F" w:rsidP="0035209F">
      <w:r>
        <w:t>The supplements to the GUM [</w:t>
      </w:r>
      <w:r w:rsidR="00BB0A18">
        <w:t>7</w:t>
      </w:r>
      <w:r>
        <w:t xml:space="preserve">, </w:t>
      </w:r>
      <w:r w:rsidR="00BB0A18">
        <w:t>8</w:t>
      </w:r>
      <w:r>
        <w:t>] resolve the above-mentioned inconsistency by</w:t>
      </w:r>
      <w:r w:rsidR="00BB0A18">
        <w:t xml:space="preserve"> </w:t>
      </w:r>
      <w:r>
        <w:t xml:space="preserve">introducing a method for treating the Category </w:t>
      </w:r>
      <w:proofErr w:type="gramStart"/>
      <w:r>
        <w:t>A</w:t>
      </w:r>
      <w:proofErr w:type="gramEnd"/>
      <w:r>
        <w:t xml:space="preserve"> uncertainties that follows a Bayesian</w:t>
      </w:r>
      <w:r w:rsidR="00BB0A18">
        <w:t xml:space="preserve"> </w:t>
      </w:r>
      <w:r>
        <w:t>approach</w:t>
      </w:r>
      <w:r w:rsidR="00BB0A18">
        <w:t xml:space="preserve"> [1</w:t>
      </w:r>
      <w:r w:rsidR="001707AE">
        <w:t>7</w:t>
      </w:r>
      <w:r w:rsidR="00BB0A18">
        <w:t>]</w:t>
      </w:r>
      <w:r>
        <w:t>. Therefore, the two supplements no longer contain the inconsistency</w:t>
      </w:r>
      <w:r w:rsidR="00BB0A18">
        <w:t xml:space="preserve"> </w:t>
      </w:r>
      <w:r>
        <w:t>found in the original GUM. However, as a consequence of this change, there is</w:t>
      </w:r>
      <w:r w:rsidR="00BB0A18">
        <w:t xml:space="preserve"> </w:t>
      </w:r>
      <w:r>
        <w:t xml:space="preserve">now inconsistency between the method used to evaluate </w:t>
      </w:r>
      <w:r>
        <w:lastRenderedPageBreak/>
        <w:t>uncertainty described in</w:t>
      </w:r>
      <w:r w:rsidR="00BB0A18">
        <w:t xml:space="preserve"> </w:t>
      </w:r>
      <w:r>
        <w:t>the GUM and that described in the two supplements. In many situations, these</w:t>
      </w:r>
      <w:r w:rsidR="00BB0A18">
        <w:t xml:space="preserve"> </w:t>
      </w:r>
      <w:r>
        <w:t>di</w:t>
      </w:r>
      <w:r w:rsidR="00BB0A18">
        <w:t>ff</w:t>
      </w:r>
      <w:r>
        <w:t>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in the area of high-frequency electromagnetic metrology</w:t>
      </w:r>
      <w:r w:rsidR="00331531">
        <w:t>, which is the topic of this thesis</w:t>
      </w:r>
      <w:r>
        <w:t>.</w:t>
      </w:r>
    </w:p>
    <w:p w14:paraId="11C206DE" w14:textId="0717F528" w:rsidR="009A4E28" w:rsidRDefault="003676D5" w:rsidP="001F3C49">
      <w:pPr>
        <w:pStyle w:val="Heading2"/>
      </w:pPr>
      <w:r>
        <w:t>3.2</w:t>
      </w:r>
      <w:r w:rsidR="00D9145A">
        <w:t>.</w:t>
      </w:r>
      <w:r>
        <w:t>2.</w:t>
      </w:r>
      <w:r w:rsidR="00D9145A">
        <w:t xml:space="preserve">1 </w:t>
      </w:r>
      <w:r w:rsidR="00331531">
        <w:t xml:space="preserve">Category </w:t>
      </w:r>
      <w:r w:rsidR="009A4E28">
        <w:t>A Evaluation</w:t>
      </w:r>
    </w:p>
    <w:p w14:paraId="109319E8" w14:textId="1AF9D11F" w:rsidR="00331531" w:rsidRDefault="00331531" w:rsidP="00331531">
      <w:pPr>
        <w:pStyle w:val="Heading3"/>
      </w:pPr>
      <w:r>
        <w:t>GUM Method</w:t>
      </w:r>
    </w:p>
    <w:p w14:paraId="7CD854DF" w14:textId="3CBA14E0" w:rsidR="00331531" w:rsidRDefault="00331531" w:rsidP="00331531">
      <w:r>
        <w:t>The classical statistical technique [1</w:t>
      </w:r>
      <w:r w:rsidR="00BC306F">
        <w:t>0</w:t>
      </w:r>
      <w:r>
        <w:t xml:space="preserve">] applied to Category </w:t>
      </w:r>
      <w:proofErr w:type="gramStart"/>
      <w:r>
        <w:t>A</w:t>
      </w:r>
      <w:proofErr w:type="gramEnd"/>
      <w:r>
        <w:t xml:space="preserve"> uncertainties in the current GUM</w:t>
      </w:r>
      <w:r w:rsidR="00BC306F">
        <w:t xml:space="preserve"> </w:t>
      </w:r>
      <w:r>
        <w:t xml:space="preserve">assigns a Gaussian probability distribution to a series of observations of a randomly varying input quantity, itself 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proofErr w:type="gramStart"/>
      <w:r w:rsidR="00BC306F">
        <w:t>,</w:t>
      </w:r>
      <w:r>
        <w:t xml:space="preserve"> </w:t>
      </w:r>
      <w:r w:rsidR="00BC306F">
        <w:t>…,</w:t>
      </w:r>
      <w:proofErr w:type="gramEnd"/>
      <w:r>
        <w:t xml:space="preserve"> </w:t>
      </w:r>
      <w:proofErr w:type="spellStart"/>
      <w:r w:rsidR="00361DD2">
        <w:rPr>
          <w:i/>
        </w:rPr>
        <w:t>x</w:t>
      </w:r>
      <w:r w:rsidRPr="00BC306F">
        <w:rPr>
          <w:vertAlign w:val="subscript"/>
        </w:rPr>
        <w:t>n</w:t>
      </w:r>
      <w:proofErr w:type="spellEnd"/>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073204"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proofErr w:type="gramStart"/>
      <w:r>
        <w:t>respectively</w:t>
      </w:r>
      <w:proofErr w:type="gramEnd"/>
      <w:r>
        <w:t xml:space="preserve">, where </w:t>
      </w:r>
      <w:r w:rsidR="00361DD2">
        <w:rPr>
          <w:i/>
        </w:rPr>
        <w:t>x</w:t>
      </w:r>
      <w:r w:rsidRPr="00BC306F">
        <w:rPr>
          <w:vertAlign w:val="subscript"/>
        </w:rPr>
        <w:t>i</w:t>
      </w:r>
      <w:r>
        <w:t xml:space="preserve"> is the result of the </w:t>
      </w:r>
      <w:proofErr w:type="spellStart"/>
      <w:r w:rsidRPr="00BC306F">
        <w:rPr>
          <w:i/>
        </w:rPr>
        <w:t>i</w:t>
      </w:r>
      <w:r w:rsidRPr="00BC306F">
        <w:rPr>
          <w:vertAlign w:val="superscript"/>
        </w:rPr>
        <w:t>th</w:t>
      </w:r>
      <w:proofErr w:type="spellEnd"/>
      <w:r>
        <w:t xml:space="preserve"> observation. Importantly, a minimum of two observations must be made (n = 2) in order for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xml:space="preserve">,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073204"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310CCAD8" w:rsidR="00BC306F" w:rsidRPr="00331531" w:rsidRDefault="00BC306F" w:rsidP="00BC306F">
      <w:r>
        <w:t xml:space="preserve">If there are correlated (mutually dependent) input quantities present in the measurement model, the </w:t>
      </w:r>
      <w:proofErr w:type="spellStart"/>
      <w:r>
        <w:t>covariances</w:t>
      </w:r>
      <w:proofErr w:type="spellEnd"/>
      <w:r>
        <w:t xml:space="preserve"> of each pair of input quantities must also be calculated before the propagation stage of the uncertainty evaluation. Both the standard uncertainties and the </w:t>
      </w:r>
      <w:proofErr w:type="spellStart"/>
      <w:r>
        <w:t>covariances</w:t>
      </w:r>
      <w:proofErr w:type="spellEnd"/>
      <w:r>
        <w:t xml:space="preserve"> for </w:t>
      </w:r>
      <w:r w:rsidRPr="00BC306F">
        <w:rPr>
          <w:i/>
        </w:rPr>
        <w:t>N</w:t>
      </w:r>
      <w:r>
        <w:t xml:space="preserve"> input quantities can be conveniently 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proofErr w:type="spellStart"/>
      <w:r w:rsidR="00361DD2">
        <w:rPr>
          <w:i/>
        </w:rPr>
        <w:t>x</w:t>
      </w:r>
      <w:r w:rsidRPr="00BC306F">
        <w:rPr>
          <w:vertAlign w:val="subscript"/>
        </w:rPr>
        <w:t>j</w:t>
      </w:r>
      <w:proofErr w:type="spellEnd"/>
      <w:r>
        <w:t xml:space="preserve"> in </w:t>
      </w:r>
      <w:proofErr w:type="gramStart"/>
      <w:r>
        <w:t xml:space="preserve">the </w:t>
      </w:r>
      <w:proofErr w:type="spellStart"/>
      <w:r>
        <w:rPr>
          <w:i/>
        </w:rPr>
        <w:t>i</w:t>
      </w:r>
      <w:proofErr w:type="spellEnd"/>
      <w:proofErr w:type="gramEnd"/>
      <w:r>
        <w:t xml:space="preserve">, </w:t>
      </w:r>
      <w:proofErr w:type="spellStart"/>
      <w:r w:rsidRPr="00BC306F">
        <w:rPr>
          <w:i/>
        </w:rPr>
        <w:t>j</w:t>
      </w:r>
      <w:r w:rsidRPr="00BC306F">
        <w:rPr>
          <w:vertAlign w:val="superscript"/>
        </w:rPr>
        <w:t>th</w:t>
      </w:r>
      <w:proofErr w:type="spellEnd"/>
      <w:r>
        <w:t xml:space="preserve"> element. This is called the “uncertainty matrix” in the GUM and the “measurement covariance matrix” in the GUM Supplement 2. An example given in the GUM, Example H.2, </w:t>
      </w:r>
      <w:r w:rsidR="001C2379">
        <w:t xml:space="preserve">described later in this chapter, </w:t>
      </w:r>
      <w:r>
        <w:t xml:space="preserve">demonstrates this scenario using the example of a simultaneous measurement of resistance and reactance with voltage, current and phase as correlated input quantities. Once the uncertainties of the input quantities have been evaluated, they are propagated through the measurement model. This requires the sensitivities of the </w:t>
      </w:r>
      <w:proofErr w:type="spellStart"/>
      <w:r>
        <w:t>measurand</w:t>
      </w:r>
      <w:proofErr w:type="spellEnd"/>
      <w:r>
        <w:t xml:space="preserve"> to each input quantity to be calculated to at least a </w:t>
      </w:r>
      <w:r>
        <w:lastRenderedPageBreak/>
        <w:t>first order approximation.</w:t>
      </w:r>
      <w:r w:rsidR="001C2379">
        <w:t xml:space="preserve"> </w:t>
      </w:r>
      <w:r>
        <w:t xml:space="preserve">The estimates of the input quantities are used in the measurement model to obtain the estimate of the </w:t>
      </w:r>
      <w:proofErr w:type="spellStart"/>
      <w:r>
        <w:t>measurand</w:t>
      </w:r>
      <w:proofErr w:type="spellEnd"/>
      <w:r>
        <w:t xml:space="preserve">. The variances and </w:t>
      </w:r>
      <w:proofErr w:type="spellStart"/>
      <w:r>
        <w:t>covariances</w:t>
      </w:r>
      <w:proofErr w:type="spellEnd"/>
      <w:r>
        <w:t xml:space="preserve"> of the input quantities are combined with the sensitivity coefficients in order to obtain the variance of the </w:t>
      </w:r>
      <w:proofErr w:type="spellStart"/>
      <w:r>
        <w:t>measurand</w:t>
      </w:r>
      <w:proofErr w:type="spellEnd"/>
      <w:r>
        <w:t xml:space="preserve">. The combined standard uncertainty of the </w:t>
      </w:r>
      <w:proofErr w:type="spellStart"/>
      <w:r>
        <w:t>measurand</w:t>
      </w:r>
      <w:proofErr w:type="spellEnd"/>
      <w:r>
        <w:t xml:space="preserve"> is equal to the positive square root of this value. The result of the measurement is then presented as the </w:t>
      </w:r>
      <w:proofErr w:type="spellStart"/>
      <w:r>
        <w:t>measurand</w:t>
      </w:r>
      <w:proofErr w:type="spellEnd"/>
      <w:r>
        <w:t xml:space="preserve"> estimate and 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w:t>
      </w:r>
      <w:proofErr w:type="gramStart"/>
      <w:r>
        <w:t>A</w:t>
      </w:r>
      <w:proofErr w:type="gramEnd"/>
      <w:r>
        <w:t xml:space="preserve"> input quantities, in contrast to the Gaussian distribution used in the GUM. Of particular relevance to this paper is the inclusion of the degrees-of-freedom parameter, </w:t>
      </w:r>
      <w:r>
        <w:rPr>
          <w:rFonts w:cstheme="minorHAnsi"/>
        </w:rPr>
        <w:t>ν</w:t>
      </w:r>
      <w:r>
        <w:t xml:space="preserve">, in the definition of the standard uncertainty and </w:t>
      </w:r>
      <w:proofErr w:type="spellStart"/>
      <w:r>
        <w:t>covariances</w:t>
      </w:r>
      <w:proofErr w:type="spellEnd"/>
      <w:r>
        <w:t xml:space="preserve">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in order to obtain the standard uncertainty, u(x</w:t>
      </w:r>
      <w:proofErr w:type="gramStart"/>
      <w:r>
        <w:t>)</w:t>
      </w:r>
      <w:r w:rsidRPr="00F56EE5">
        <w:rPr>
          <w:vertAlign w:val="subscript"/>
        </w:rPr>
        <w:t>SUPP</w:t>
      </w:r>
      <w:proofErr w:type="gramEnd"/>
      <w:r>
        <w:t>:</w:t>
      </w:r>
    </w:p>
    <w:p w14:paraId="076179A5" w14:textId="5BFF8EFD" w:rsidR="00F56EE5" w:rsidRPr="00D9145A" w:rsidRDefault="00073204"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proofErr w:type="gramStart"/>
      <w:r>
        <w:t>where</w:t>
      </w:r>
      <w:proofErr w:type="gramEnd"/>
      <w:r>
        <w:t xml:space="preserv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073204"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7666DC95"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1 illustrates the ratio between the standard uncertainty values calculated for different numbers of observations of a single Category A input quantity using the GUM and the GUM-S1/S2 approaches. It can be seen that when </w:t>
      </w:r>
      <w:r w:rsidRPr="00EE19A6">
        <w:rPr>
          <w:i/>
        </w:rPr>
        <w:t>n</w:t>
      </w:r>
      <w:r>
        <w:t xml:space="preserve"> = 4,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lang w:eastAsia="en-GB"/>
        </w:rPr>
        <w:lastRenderedPageBreak/>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5B546B3E" w:rsidR="001C2379" w:rsidRDefault="00A83AF7" w:rsidP="00A83AF7">
      <w:pPr>
        <w:pStyle w:val="Caption"/>
        <w:jc w:val="center"/>
      </w:pPr>
      <w:r>
        <w:t xml:space="preserve">Figure </w:t>
      </w:r>
      <w:fldSimple w:instr=" SEQ Figure \* ARABIC ">
        <w:r w:rsidR="00C134D7">
          <w:rPr>
            <w:noProof/>
          </w:rPr>
          <w:t>3</w:t>
        </w:r>
      </w:fldSimple>
      <w:r>
        <w:t>: Scaling factor to convert from a GUM standard uncertainty to a GUM Supplement.</w:t>
      </w:r>
    </w:p>
    <w:p w14:paraId="6BC34EC1" w14:textId="200021CF" w:rsidR="00EE19A6" w:rsidRDefault="00EE19A6" w:rsidP="00EE19A6">
      <w:r>
        <w:t xml:space="preserve">For measurements involving multiple input quantities, such as the measurement of a vector quantity, a multivariate/joint distribution should be used as suggested in the GUM-S2. The variances and </w:t>
      </w:r>
      <w:proofErr w:type="spellStart"/>
      <w:r>
        <w:t>covariances</w:t>
      </w:r>
      <w:proofErr w:type="spellEnd"/>
      <w:r>
        <w:t xml:space="preserve"> between all pairs of input quantities are obtained using a matrix form of (3</w:t>
      </w:r>
      <w:r w:rsidR="00D13842">
        <w:t>.5</w:t>
      </w:r>
      <w:r>
        <w:t>) (section 5.3.2 of [8]):</w:t>
      </w:r>
    </w:p>
    <w:p w14:paraId="6956A44B" w14:textId="7515F298" w:rsidR="00EE19A6" w:rsidRPr="00D9145A" w:rsidRDefault="00073204"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073204"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53637DA9" w:rsidR="00422A98" w:rsidRPr="00D9145A" w:rsidRDefault="00073204"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0D3F53A9" w:rsidR="00ED47A1" w:rsidRDefault="00ED47A1" w:rsidP="00ED47A1">
      <w:proofErr w:type="gramStart"/>
      <w:r>
        <w:t>where</w:t>
      </w:r>
      <w:proofErr w:type="gramEnd"/>
      <w:r>
        <w:t xml:space="preserve"> </w:t>
      </w:r>
      <w:r w:rsidR="000218EB">
        <w:rPr>
          <w:b/>
          <w:i/>
        </w:rPr>
        <w:t>U</w:t>
      </w:r>
      <w:r w:rsidR="000218EB" w:rsidRPr="000218EB">
        <w:rPr>
          <w:b/>
          <w:i/>
          <w:vertAlign w:val="subscript"/>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in section 5.</w:t>
      </w:r>
    </w:p>
    <w:p w14:paraId="0744E63B" w14:textId="45CAEDE4" w:rsidR="00854B29" w:rsidRDefault="00854B29" w:rsidP="00854B29">
      <w:pPr>
        <w:pStyle w:val="Heading3"/>
      </w:pPr>
      <w:r>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w:t>
      </w:r>
      <w:r>
        <w:lastRenderedPageBreak/>
        <w:t>measurement model with multiple input quantities and multiple output quantities (</w:t>
      </w:r>
      <w:proofErr w:type="spellStart"/>
      <w:r>
        <w:t>measurands</w:t>
      </w:r>
      <w:proofErr w:type="spellEnd"/>
      <w:r>
        <w:t xml:space="preserve">).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w:t>
      </w:r>
      <w:proofErr w:type="spellStart"/>
      <w:r>
        <w:t>measurands</w:t>
      </w:r>
      <w:proofErr w:type="spellEnd"/>
      <w:r>
        <w:t xml:space="preserve">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073204"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16AE97D3"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section 3.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xml:space="preserve">. This explains why standard uncertainties evaluated with Category </w:t>
      </w:r>
      <w:proofErr w:type="gramStart"/>
      <w:r>
        <w:t>A</w:t>
      </w:r>
      <w:proofErr w:type="gramEnd"/>
      <w:r>
        <w:t xml:space="preserve"> methods using the minimum number of observations following the GUM-S1/S2 approach are always 1.732 times larger than the standard uncertainties calculated following the GUM approach.</w:t>
      </w:r>
    </w:p>
    <w:p w14:paraId="300B244B" w14:textId="63DAFEC3" w:rsidR="00A83AF7" w:rsidRDefault="00A83AF7" w:rsidP="00A83AF7">
      <w:pPr>
        <w:pStyle w:val="Caption"/>
        <w:keepNext/>
        <w:jc w:val="center"/>
      </w:pPr>
      <w:r>
        <w:t xml:space="preserve">Table </w:t>
      </w:r>
      <w:fldSimple w:instr=" SEQ Table \* ARABIC ">
        <w:r w:rsidR="00CC2B0A">
          <w:rPr>
            <w:noProof/>
          </w:rPr>
          <w:t>1</w:t>
        </w:r>
      </w:fldSimple>
      <w:r>
        <w:t xml:space="preserve">: The indication values from the example “Simultaneous Resistance and Reactance Measurement” and </w:t>
      </w:r>
      <w:proofErr w:type="gramStart"/>
      <w:r>
        <w:t>their  statistical</w:t>
      </w:r>
      <w:proofErr w:type="gramEnd"/>
      <w:r>
        <w:t xml:space="preserve"> properties as evaluated by the approaches given in [5] (example H.2) and [8] (example 9.4).</w:t>
      </w:r>
    </w:p>
    <w:p w14:paraId="4DB00921" w14:textId="2C2C78F7" w:rsidR="001707AE" w:rsidRDefault="00A83AF7" w:rsidP="00A83AF7">
      <w:pPr>
        <w:jc w:val="center"/>
      </w:pPr>
      <w:r>
        <w:rPr>
          <w:noProof/>
          <w:lang w:eastAsia="en-GB"/>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3">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7FFB794C" w:rsidR="00A83AF7" w:rsidRDefault="00A83AF7" w:rsidP="00A83AF7">
      <w:r>
        <w:t xml:space="preserve">This difference in the input quantity uncertainties calculated from the two approaches propagates through the measurement model and therefore significantly affects the combined standard uncertainties of the </w:t>
      </w:r>
      <w:proofErr w:type="spellStart"/>
      <w:r>
        <w:t>measurands</w:t>
      </w:r>
      <w:proofErr w:type="spellEnd"/>
      <w:r>
        <w:t xml:space="preserve">. Table 2 presents the combined standard uncertainties of the </w:t>
      </w:r>
      <w:proofErr w:type="spellStart"/>
      <w:r>
        <w:t>measurands</w:t>
      </w:r>
      <w:proofErr w:type="spellEnd"/>
      <w:r>
        <w:t xml:space="preserve"> for the described example as evaluated by both approaches, together with a ratio of the uncertainty values. For all three </w:t>
      </w:r>
      <w:proofErr w:type="spellStart"/>
      <w:r>
        <w:t>measurands</w:t>
      </w:r>
      <w:proofErr w:type="spellEnd"/>
      <w:r>
        <w:t xml:space="preserve"> the combined standard uncertainty calculated using the GUM-S1/S2 method is more than double the equivalent values calculated using the GUM method. </w:t>
      </w:r>
      <w:r>
        <w:lastRenderedPageBreak/>
        <w:t>For other measurement models with higher sensitivities to the input quantities, this difference could be even greater.</w:t>
      </w:r>
    </w:p>
    <w:p w14:paraId="0FA3BED2" w14:textId="6154D792" w:rsidR="00A83AF7" w:rsidRDefault="00A83AF7" w:rsidP="00A83AF7">
      <w:pPr>
        <w:pStyle w:val="Caption"/>
        <w:keepNext/>
        <w:jc w:val="center"/>
      </w:pPr>
      <w:r>
        <w:t xml:space="preserve">Table </w:t>
      </w:r>
      <w:fldSimple w:instr=" SEQ Table \* ARABIC ">
        <w:r w:rsidR="00CC2B0A">
          <w:rPr>
            <w:noProof/>
          </w:rPr>
          <w:t>2</w:t>
        </w:r>
      </w:fldSimple>
      <w:r>
        <w:t>: A comparison of the results obtained for the example “Simultaneous Resistance and Reactance Measurement”</w:t>
      </w:r>
      <w:r w:rsidR="00D9145A">
        <w:t xml:space="preserve"> </w:t>
      </w:r>
      <w:r>
        <w:t>using the approaches given in [5] (example H.2) and [8] (example 9.4).</w:t>
      </w:r>
    </w:p>
    <w:p w14:paraId="6D696639" w14:textId="11325AF0" w:rsidR="00A83AF7" w:rsidRDefault="00A83AF7" w:rsidP="00A83AF7">
      <w:pPr>
        <w:jc w:val="center"/>
      </w:pPr>
      <w:r>
        <w:rPr>
          <w:noProof/>
          <w:lang w:eastAsia="en-GB"/>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4">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78B3FB5E" w:rsidR="00CC2B0A" w:rsidRDefault="00A83AF7" w:rsidP="0002288A">
      <w:pPr>
        <w:rPr>
          <w:rFonts w:eastAsiaTheme="minorEastAsia"/>
        </w:rPr>
      </w:pPr>
      <w:r>
        <w:t>High-frequency electromagnetic metrology often involves using multiple complex</w:t>
      </w:r>
      <w:r w:rsidR="00534EE3">
        <w:t>-</w:t>
      </w:r>
      <w:r>
        <w:t>valued quantities. Common input quantities for this type of measurement, measured using instruments such as vector network analysers (VNA</w:t>
      </w:r>
      <w:proofErr w:type="gramStart"/>
      <w:r>
        <w:t>),</w:t>
      </w:r>
      <w:proofErr w:type="gramEnd"/>
      <w:r>
        <w:t xml:space="preserve"> are scattering parameters (S-parameters)</w:t>
      </w:r>
      <w:r w:rsidR="0002288A">
        <w:t xml:space="preserve">, as described in Chapter 2. </w:t>
      </w:r>
      <w:r w:rsidR="00B30E85" w:rsidRPr="00B30E85">
        <w:rPr>
          <w:rFonts w:eastAsiaTheme="minorEastAsia"/>
        </w:rPr>
        <w:t>Because each S-parameter is a complex-valued quantity (S = (</w:t>
      </w:r>
      <w:proofErr w:type="spellStart"/>
      <w:r w:rsidR="00B30E85" w:rsidRPr="00B30E85">
        <w:rPr>
          <w:rFonts w:eastAsiaTheme="minorEastAsia"/>
        </w:rPr>
        <w:t>S</w:t>
      </w:r>
      <w:r w:rsidR="00B30E85" w:rsidRPr="00B30E85">
        <w:rPr>
          <w:rFonts w:eastAsiaTheme="minorEastAsia"/>
          <w:vertAlign w:val="subscript"/>
        </w:rPr>
        <w:t>Re</w:t>
      </w:r>
      <w:proofErr w:type="spellEnd"/>
      <w:r w:rsidR="00B30E85" w:rsidRPr="00B30E85">
        <w:rPr>
          <w:rFonts w:eastAsiaTheme="minorEastAsia"/>
        </w:rPr>
        <w:t xml:space="preserve">, </w:t>
      </w:r>
      <w:proofErr w:type="spellStart"/>
      <w:r w:rsidR="00B30E85" w:rsidRPr="00B30E85">
        <w:rPr>
          <w:rFonts w:eastAsiaTheme="minorEastAsia"/>
        </w:rPr>
        <w:t>S</w:t>
      </w:r>
      <w:r w:rsidR="00B30E85" w:rsidRPr="00B30E85">
        <w:rPr>
          <w:rFonts w:eastAsiaTheme="minorEastAsia"/>
          <w:vertAlign w:val="subscript"/>
        </w:rPr>
        <w:t>Im</w:t>
      </w:r>
      <w:proofErr w:type="spellEnd"/>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w:t>
      </w:r>
      <w:proofErr w:type="gramStart"/>
      <w:r w:rsidR="00B30E85" w:rsidRPr="00B30E85">
        <w:rPr>
          <w:rFonts w:eastAsiaTheme="minorEastAsia"/>
        </w:rPr>
        <w:t>A</w:t>
      </w:r>
      <w:proofErr w:type="gramEnd"/>
      <w:r w:rsidR="00B30E85" w:rsidRPr="00B30E85">
        <w:rPr>
          <w:rFonts w:eastAsiaTheme="minorEastAsia"/>
        </w:rPr>
        <w:t xml:space="preserve">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ce in uncertainty as calculated from the two approaches presented in the</w:t>
      </w:r>
      <w:r w:rsidR="00B30E85">
        <w:rPr>
          <w:rFonts w:eastAsiaTheme="minorEastAsia"/>
        </w:rPr>
        <w:t xml:space="preserve"> </w:t>
      </w:r>
      <w:r w:rsidR="00B30E85" w:rsidRPr="00B30E85">
        <w:rPr>
          <w:rFonts w:eastAsiaTheme="minorEastAsia"/>
        </w:rPr>
        <w:t>GUM and the GUM-S1/S2. Table 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6C6837A8" w:rsidR="00CC2B0A" w:rsidRDefault="00CC2B0A" w:rsidP="00CC2B0A">
      <w:pPr>
        <w:pStyle w:val="Caption"/>
        <w:keepNext/>
        <w:jc w:val="center"/>
      </w:pPr>
      <w:r>
        <w:t xml:space="preserve">Table </w:t>
      </w:r>
      <w:fldSimple w:instr=" SEQ Table \* ARABIC ">
        <w:r>
          <w:rPr>
            <w:noProof/>
          </w:rPr>
          <w:t>3</w:t>
        </w:r>
      </w:fldSimple>
      <w:r>
        <w:t>: The difference in standard uncertainties obtained using the GUM (</w:t>
      </w:r>
      <w:proofErr w:type="gramStart"/>
      <w:r>
        <w:t>u(</w:t>
      </w:r>
      <w:proofErr w:type="gramEnd"/>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 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xml:space="preserve">) approaches to measure a full set of scattering parameters for microwave devices with various numbers of ports, </w:t>
      </w:r>
      <w:r w:rsidRPr="00CC2B0A">
        <w:rPr>
          <w:i/>
        </w:rPr>
        <w:t>m</w:t>
      </w:r>
      <w:r>
        <w:t>. Each device has 2</w:t>
      </w:r>
      <w:r w:rsidRPr="00CC2B0A">
        <w:rPr>
          <w:i/>
        </w:rPr>
        <w:t>m</w:t>
      </w:r>
      <w:r w:rsidRPr="00CC2B0A">
        <w:rPr>
          <w:vertAlign w:val="superscript"/>
        </w:rPr>
        <w:t>2</w:t>
      </w:r>
      <w:r>
        <w:t xml:space="preserve"> input quantities, </w:t>
      </w:r>
      <w:r w:rsidRPr="00CC2B0A">
        <w:rPr>
          <w:i/>
        </w:rPr>
        <w:t>N</w:t>
      </w:r>
      <w:r>
        <w:t xml:space="preserve">, and requires a minimum of </w:t>
      </w:r>
      <w:r w:rsidRPr="00CC2B0A">
        <w:rPr>
          <w:i/>
        </w:rPr>
        <w:t>N</w:t>
      </w:r>
      <w:r>
        <w:t xml:space="preserve"> + 3 repeat observations, </w:t>
      </w:r>
      <w:r w:rsidRPr="00CC2B0A">
        <w:rPr>
          <w:i/>
        </w:rPr>
        <w:t>n</w:t>
      </w:r>
      <w:r>
        <w:t xml:space="preserve">, in order for </w:t>
      </w:r>
      <w:proofErr w:type="gramStart"/>
      <w:r>
        <w:t>u(</w:t>
      </w:r>
      <w:proofErr w:type="gramEnd"/>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 defined.</w:t>
      </w:r>
    </w:p>
    <w:p w14:paraId="0832761D" w14:textId="75A1006E" w:rsidR="00CC2B0A" w:rsidRDefault="00CC2B0A" w:rsidP="00CC2B0A">
      <w:pPr>
        <w:jc w:val="center"/>
        <w:rPr>
          <w:rFonts w:eastAsiaTheme="minorEastAsia"/>
        </w:rPr>
      </w:pPr>
      <w:r>
        <w:rPr>
          <w:rFonts w:eastAsiaTheme="minorEastAsia"/>
          <w:noProof/>
          <w:lang w:eastAsia="en-GB"/>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5">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193493F2" w:rsidR="00A83AF7" w:rsidRDefault="00CC2B0A" w:rsidP="00CC2B0A">
      <w:pPr>
        <w:rPr>
          <w:rFonts w:eastAsiaTheme="minorEastAsia"/>
        </w:rPr>
      </w:pPr>
      <w:r w:rsidRPr="00CC2B0A">
        <w:rPr>
          <w:rFonts w:eastAsiaTheme="minorEastAsia"/>
        </w:rPr>
        <w:t xml:space="preserve">It can be seen that for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 xml:space="preserve">that the user will not always have the time </w:t>
      </w:r>
      <w:r w:rsidRPr="00CC2B0A">
        <w:rPr>
          <w:rFonts w:eastAsiaTheme="minorEastAsia"/>
        </w:rPr>
        <w:lastRenderedPageBreak/>
        <w:t>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 xml:space="preserve">measurement may include a Category </w:t>
      </w:r>
      <w:proofErr w:type="gramStart"/>
      <w:r w:rsidRPr="00CC2B0A">
        <w:rPr>
          <w:rFonts w:eastAsiaTheme="minorEastAsia"/>
        </w:rPr>
        <w:t>A</w:t>
      </w:r>
      <w:proofErr w:type="gramEnd"/>
      <w:r w:rsidRPr="00CC2B0A">
        <w:rPr>
          <w:rFonts w:eastAsiaTheme="minorEastAsia"/>
        </w:rPr>
        <w:t xml:space="preserve">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 xml:space="preserve">coaxial connections to be made in order to perform a Category </w:t>
      </w:r>
      <w:proofErr w:type="gramStart"/>
      <w:r w:rsidRPr="00CC2B0A">
        <w:rPr>
          <w:rFonts w:eastAsiaTheme="minorEastAsia"/>
        </w:rPr>
        <w:t>A</w:t>
      </w:r>
      <w:proofErr w:type="gramEnd"/>
      <w:r w:rsidRPr="00CC2B0A">
        <w:rPr>
          <w:rFonts w:eastAsiaTheme="minorEastAsia"/>
        </w:rPr>
        <w:t xml:space="preserve">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Pr="00CC2B0A">
        <w:rPr>
          <w:rFonts w:eastAsiaTheme="minorEastAsia"/>
        </w:rPr>
        <w:t>2 shows the minimum number of repeat observations required when using</w:t>
      </w:r>
      <w:r>
        <w:rPr>
          <w:rFonts w:eastAsiaTheme="minorEastAsia"/>
        </w:rPr>
        <w:t xml:space="preserve"> </w:t>
      </w:r>
      <w:r w:rsidRPr="00CC2B0A">
        <w:rPr>
          <w:rFonts w:eastAsiaTheme="minorEastAsia"/>
        </w:rPr>
        <w:t xml:space="preserve">the GUM-S1/S2 approach, n, in order to be able to calculate a Category </w:t>
      </w:r>
      <w:proofErr w:type="gramStart"/>
      <w:r w:rsidRPr="00CC2B0A">
        <w:rPr>
          <w:rFonts w:eastAsiaTheme="minorEastAsia"/>
        </w:rPr>
        <w:t>A</w:t>
      </w:r>
      <w:proofErr w:type="gramEnd"/>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lang w:eastAsia="en-GB"/>
        </w:rPr>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6">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33349824" w:rsidR="0002288A" w:rsidRDefault="0002288A" w:rsidP="0002288A">
      <w:pPr>
        <w:pStyle w:val="Caption"/>
        <w:jc w:val="center"/>
      </w:pPr>
      <w:r>
        <w:t xml:space="preserve">Figure </w:t>
      </w:r>
      <w:fldSimple w:instr=" SEQ Figure \* ARABIC ">
        <w:r w:rsidR="00C134D7">
          <w:rPr>
            <w:noProof/>
          </w:rPr>
          <w:t>4</w:t>
        </w:r>
      </w:fldSimple>
      <w:r>
        <w:t xml:space="preserve">: The minimum number of observations, </w:t>
      </w:r>
      <w:r w:rsidRPr="0002288A">
        <w:rPr>
          <w:i/>
        </w:rPr>
        <w:t>n</w:t>
      </w:r>
      <w:r>
        <w:t xml:space="preserve">, required </w:t>
      </w:r>
      <w:proofErr w:type="gramStart"/>
      <w:r>
        <w:t>to calculate</w:t>
      </w:r>
      <w:proofErr w:type="gramEnd"/>
      <w:r>
        <w:t xml:space="preserve"> the standard uncertainty of a full set of S-parameters for a microwave device with m ports using the GUM-S2 approach. </w:t>
      </w:r>
      <w:proofErr w:type="gramStart"/>
      <w:r>
        <w:t xml:space="preserve">The number of input quantities, </w:t>
      </w:r>
      <w:r w:rsidRPr="0002288A">
        <w:rPr>
          <w:i/>
        </w:rPr>
        <w:t>N</w:t>
      </w:r>
      <w:r>
        <w:t>, for each device is also shown.</w:t>
      </w:r>
      <w:proofErr w:type="gramEnd"/>
      <w:r>
        <w:t xml:space="preserve"> 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 xml:space="preserve">The inconsistency of the approaches used in the GUM and its supplements to calculate the standard uncertainty of Category </w:t>
      </w:r>
      <w:proofErr w:type="gramStart"/>
      <w:r>
        <w:t>A</w:t>
      </w:r>
      <w:proofErr w:type="gramEnd"/>
      <w:r>
        <w:t xml:space="preserve"> input quantities of a measurement has two noticeable consequences for the user:</w:t>
      </w:r>
    </w:p>
    <w:p w14:paraId="61ABCBE5" w14:textId="759277DC" w:rsidR="0002288A" w:rsidRDefault="0002288A" w:rsidP="00014322">
      <w:pPr>
        <w:pStyle w:val="ListParagraph"/>
        <w:numPr>
          <w:ilvl w:val="0"/>
          <w:numId w:val="3"/>
        </w:numPr>
      </w:pPr>
      <w:r>
        <w:t xml:space="preserve">There can be a large difference in the standard uncertainties reported by each approach, which has been demonstrated in this chapter using both the example of simultaneous </w:t>
      </w:r>
      <w:proofErr w:type="gramStart"/>
      <w:r>
        <w:t>resistance</w:t>
      </w:r>
      <w:proofErr w:type="gramEnd"/>
      <w:r>
        <w:t xml:space="preserve"> and reactance measurement and a typical microwave measurement. This leads to the question: “Which approach should be used?</w:t>
      </w:r>
      <w:proofErr w:type="gramStart"/>
      <w:r>
        <w:t>”.</w:t>
      </w:r>
      <w:proofErr w:type="gramEnd"/>
      <w:r>
        <w:t xml:space="preserve"> The answer is not straightforward. The </w:t>
      </w:r>
      <w:r>
        <w:lastRenderedPageBreak/>
        <w:t>GUM approach is likely to be more attractive to commercial laboratories and test engineers since this leads to achieving smaller uncertainties in their results.</w:t>
      </w:r>
    </w:p>
    <w:p w14:paraId="0F0D2710" w14:textId="3C9F779D" w:rsidR="0002288A" w:rsidRDefault="0002288A" w:rsidP="00014322">
      <w:pPr>
        <w:pStyle w:val="ListParagraph"/>
        <w:numPr>
          <w:ilvl w:val="0"/>
          <w:numId w:val="3"/>
        </w:numPr>
      </w:pPr>
      <w:r>
        <w:t xml:space="preserve">For situations involving multiple </w:t>
      </w:r>
      <w:proofErr w:type="gramStart"/>
      <w:r>
        <w:t>Category</w:t>
      </w:r>
      <w:proofErr w:type="gramEnd"/>
      <w:r>
        <w:t xml:space="preserve"> A input quantities, the Bayesian approach introduced in the GUM-S1/S2 can require a large number of observations before the standard uncertainty can be defined. Although the standard uncertainty calculated using the GUM approach will become less reliable with fewer observations, it is still possible to obtain a result with only two observations of any number of input quantities. In a commercial laboratory the additional measurements required by the GUM-S1/S2 approach can be impractical, with many laboratories typically using only two or three measurements per device following the GUM approach. For a single input quantity this would require a potential doubling of the number of observations and therefore the test duration, which would either slow throughput or require more test stations to be added. If implemented, the additional time or financial investment would then produce uncertainties 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36D4D117" w:rsidR="009A4E28" w:rsidRDefault="003676D5" w:rsidP="001F3C49">
      <w:pPr>
        <w:pStyle w:val="Heading2"/>
      </w:pPr>
      <w:r>
        <w:t>3.2</w:t>
      </w:r>
      <w:r w:rsidR="005B117E">
        <w:t>.2</w:t>
      </w:r>
      <w:r>
        <w:t>.2</w:t>
      </w:r>
      <w:r w:rsidR="005B117E">
        <w:t xml:space="preserve">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0B31390B"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 xml:space="preserve">an expanded uncertainty. The latter can be converted to a standard uncertainty, the process of which is described in section 3.6. </w:t>
      </w:r>
      <w:r w:rsidR="00581C16">
        <w:t xml:space="preserve">Category B uncertainty components are not restricted to Gaussian or </w:t>
      </w:r>
      <w:r w:rsidR="00581C16" w:rsidRPr="00581C16">
        <w:rPr>
          <w:i/>
        </w:rPr>
        <w:t>t</w:t>
      </w:r>
      <w:r w:rsidR="00581C16">
        <w:t>-distributions, and could for example be normal (rectangular), beta, or Cauchy distributions.</w:t>
      </w:r>
      <w:r w:rsidR="004970AE">
        <w:t xml:space="preserve"> Unless the combined standard uncertainty is determined via a Monte Carlo method, as explained in the following section, the standard uncertainty must be known for the value to be used as an input quantity.</w:t>
      </w:r>
    </w:p>
    <w:p w14:paraId="3BC9CE22" w14:textId="79AD8FFA" w:rsidR="009A4E28" w:rsidRDefault="003676D5" w:rsidP="001F3C49">
      <w:pPr>
        <w:pStyle w:val="Heading1"/>
      </w:pPr>
      <w:r>
        <w:lastRenderedPageBreak/>
        <w:t>3.2.3</w:t>
      </w:r>
      <w:r w:rsidR="005B117E">
        <w:t xml:space="preserve"> </w:t>
      </w:r>
      <w:r w:rsidR="009F4C32">
        <w:t>Evaluating Combined Standard Uncertainty</w:t>
      </w:r>
    </w:p>
    <w:p w14:paraId="6F6841C0" w14:textId="77777777" w:rsidR="004970AE" w:rsidRDefault="00980442" w:rsidP="004970AE">
      <w:r>
        <w:t xml:space="preserve">In order to determine the standard uncertainty of the </w:t>
      </w:r>
      <w:proofErr w:type="spellStart"/>
      <w:r>
        <w:t>measurand</w:t>
      </w:r>
      <w:proofErr w:type="spellEnd"/>
      <w:r>
        <w:t xml:space="preserve"> – the combined standard uncertainty – the uncertainties of the input quantities must be propagated through the measurement model. </w:t>
      </w:r>
      <w:r w:rsidR="004970AE">
        <w:t>The GUM offers several methods to achieve this, which will be described in this section.</w:t>
      </w:r>
    </w:p>
    <w:p w14:paraId="407EED5C" w14:textId="241887FA" w:rsidR="009A4E28" w:rsidRDefault="003676D5" w:rsidP="004970AE">
      <w:pPr>
        <w:pStyle w:val="Heading2"/>
      </w:pPr>
      <w:r>
        <w:t>3.2</w:t>
      </w:r>
      <w:r w:rsidR="005B117E">
        <w:t>.</w:t>
      </w:r>
      <w:r>
        <w:t>3.</w:t>
      </w:r>
      <w:r w:rsidR="005B117E">
        <w:t xml:space="preserve">1 </w:t>
      </w:r>
      <w:r w:rsidR="009A4E28">
        <w:t>Monte Carlo Methods</w:t>
      </w:r>
    </w:p>
    <w:p w14:paraId="7458C5D5" w14:textId="011350FE" w:rsidR="004970AE" w:rsidRDefault="004970AE" w:rsidP="004970AE">
      <w:r>
        <w:t xml:space="preserve">Supplement 1 of the GUM [7] covers the use of a Monte Carlo technique to determine combined standard uncertainty in the </w:t>
      </w:r>
      <w:proofErr w:type="spellStart"/>
      <w:r>
        <w:t>measurand</w:t>
      </w:r>
      <w:proofErr w:type="spellEnd"/>
      <w:r>
        <w:t>. The Monte Carlo technique has three important benefits for the propagation of uncertainty:</w:t>
      </w:r>
    </w:p>
    <w:p w14:paraId="5D16C835" w14:textId="2A8D0A0F" w:rsidR="004970AE" w:rsidRDefault="004970AE" w:rsidP="004970AE">
      <w:pPr>
        <w:pStyle w:val="ListParagraph"/>
        <w:numPr>
          <w:ilvl w:val="0"/>
          <w:numId w:val="5"/>
        </w:numPr>
      </w:pPr>
      <w:r>
        <w:t xml:space="preserve">The measurement model does not need to be known explicitly. In some cases, the algorithm used to obtain a measurement result is proprietary and cannot be made available to the </w:t>
      </w:r>
      <w:proofErr w:type="spellStart"/>
      <w:r>
        <w:t>metrologist</w:t>
      </w:r>
      <w:proofErr w:type="spellEnd"/>
      <w:r>
        <w:t>. Alternatively, the measurement model may be very complicated or involve numerical solutions which cannot be differentiated as required by other propagation methods.</w:t>
      </w:r>
    </w:p>
    <w:p w14:paraId="7FC7A628" w14:textId="4876F47A" w:rsidR="00B67AC8" w:rsidRDefault="00B67AC8" w:rsidP="004970AE">
      <w:pPr>
        <w:pStyle w:val="ListParagraph"/>
        <w:numPr>
          <w:ilvl w:val="0"/>
          <w:numId w:val="5"/>
        </w:numPr>
      </w:pPr>
      <w:r>
        <w:t xml:space="preserve">Full knowledge of the probability distributions of the input quantities are used and preserved through the uncertainty propagation. Because the input quantity distributions are sampled directly, the complete probability distribution of the </w:t>
      </w:r>
      <w:proofErr w:type="spellStart"/>
      <w:r>
        <w:t>measurand</w:t>
      </w:r>
      <w:proofErr w:type="spellEnd"/>
      <w:r>
        <w:t xml:space="preserve"> can be obtained</w:t>
      </w:r>
      <w:r w:rsidR="00C134D7">
        <w:t xml:space="preserve"> (see Figure 5)</w:t>
      </w:r>
      <w:r>
        <w:t xml:space="preserve">. This can be very useful when more exotic distributions such as u-shaped distributions are used for input quantities, or if the measurement model is strongly nonlinear, when one cannot make assumptions about the probability distribution of the </w:t>
      </w:r>
      <w:proofErr w:type="spellStart"/>
      <w:r>
        <w:t>measurand</w:t>
      </w:r>
      <w:proofErr w:type="spellEnd"/>
      <w:r>
        <w:t>.</w:t>
      </w:r>
    </w:p>
    <w:p w14:paraId="4D23D39E" w14:textId="7B0FD130" w:rsidR="00333189" w:rsidRDefault="00B67AC8" w:rsidP="00287603">
      <w:pPr>
        <w:pStyle w:val="ListParagraph"/>
        <w:numPr>
          <w:ilvl w:val="0"/>
          <w:numId w:val="5"/>
        </w:numPr>
      </w:pPr>
      <w:r>
        <w:t xml:space="preserve">The uncertainty propagation preserves nonlinearities in the measurement model. Alternative propagation methods presented in the GUM cause the measurement model to be </w:t>
      </w:r>
      <w:proofErr w:type="spellStart"/>
      <w:r>
        <w:t>linearised</w:t>
      </w:r>
      <w:proofErr w:type="spellEnd"/>
      <w:r>
        <w:t xml:space="preserve"> around the estimate.</w:t>
      </w:r>
      <w:r w:rsidR="00014322">
        <w:t xml:space="preserve"> </w:t>
      </w:r>
      <w:r w:rsidR="00333189">
        <w:t>In most cases where a nonlinear measurement model is used, however, the uncertainty values are sufficient small that a linear approximation is valid</w:t>
      </w:r>
      <w:r w:rsidR="004B2A08">
        <w:t xml:space="preserve"> [5, 5.1.5]</w:t>
      </w:r>
      <w:r w:rsidR="00333189">
        <w:t xml:space="preserve">. Often, an initial </w:t>
      </w:r>
      <w:r w:rsidR="00014322">
        <w:t xml:space="preserve">Monte Carlo propagation </w:t>
      </w:r>
      <w:r w:rsidR="00333189">
        <w:t xml:space="preserve">is </w:t>
      </w:r>
      <w:r w:rsidR="00014322">
        <w:t xml:space="preserve">used to validate </w:t>
      </w:r>
      <w:r w:rsidR="00333189">
        <w:t>this assumption</w:t>
      </w:r>
      <w:r w:rsidR="00014322">
        <w:t>.</w:t>
      </w:r>
    </w:p>
    <w:p w14:paraId="4C1D6087" w14:textId="61967837" w:rsidR="006E3693" w:rsidRDefault="006E3693" w:rsidP="00287603">
      <w:pPr>
        <w:pStyle w:val="ListParagraph"/>
        <w:numPr>
          <w:ilvl w:val="0"/>
          <w:numId w:val="5"/>
        </w:numPr>
      </w:pPr>
      <w:r>
        <w:t xml:space="preserve">All correlations between input quantities are preserved. For many measurements involving multiple input quantities (especially in electromagnetic </w:t>
      </w:r>
      <w:r w:rsidR="00720161">
        <w:t>measurements</w:t>
      </w:r>
      <w:r>
        <w:t>)</w:t>
      </w:r>
      <w:r w:rsidR="00720161">
        <w:t xml:space="preserve">, the uncertainties of one or more input quantities may be correlated. This means that when the value of one quantity changes, it affects the values of others. The effect can </w:t>
      </w:r>
      <w:proofErr w:type="gramStart"/>
      <w:r w:rsidR="00720161">
        <w:t>both increase or</w:t>
      </w:r>
      <w:proofErr w:type="gramEnd"/>
      <w:r w:rsidR="00720161">
        <w:t xml:space="preserve"> decrease the combined standard uncertainty in the </w:t>
      </w:r>
      <w:proofErr w:type="spellStart"/>
      <w:r w:rsidR="00720161">
        <w:t>measurand</w:t>
      </w:r>
      <w:proofErr w:type="spellEnd"/>
      <w:r w:rsidR="00720161">
        <w:t xml:space="preserve"> significantly. Chapter 4 will discuss the impact of correlations on VNA measurements.</w:t>
      </w:r>
    </w:p>
    <w:p w14:paraId="613EB1E8" w14:textId="41DA26CC" w:rsidR="008F7457" w:rsidRPr="008F7457" w:rsidRDefault="008F7457" w:rsidP="00C134D7">
      <w:r>
        <w:lastRenderedPageBreak/>
        <w:t>The primary disadvantage of Monte Carlo methods is the time required to process them. For an accurate evaluation of uncertainty, the number of samples must be sufficiently large. Generally, the GUM recommends 10</w:t>
      </w:r>
      <w:r w:rsidRPr="008F7457">
        <w:rPr>
          <w:vertAlign w:val="superscript"/>
        </w:rPr>
        <w:t>6</w:t>
      </w:r>
      <w:r>
        <w:t xml:space="preserve"> samples for a 95% coverage interval accurate to one or two significant digits</w:t>
      </w:r>
      <w:r w:rsidR="004B2A08">
        <w:t xml:space="preserve"> [</w:t>
      </w:r>
      <w:r w:rsidR="008F48D8">
        <w:t>7</w:t>
      </w:r>
      <w:r w:rsidR="004B2A08">
        <w:t>, 7.2.1]</w:t>
      </w:r>
      <w:r>
        <w:t>. Th</w:t>
      </w:r>
      <w:r w:rsidR="006E3693">
        <w:t xml:space="preserve">e number of samples </w:t>
      </w:r>
      <w:r>
        <w:t xml:space="preserve">increases with the </w:t>
      </w:r>
      <w:r w:rsidR="006E3693">
        <w:t xml:space="preserve">size of the </w:t>
      </w:r>
      <w:r>
        <w:t xml:space="preserve">desired </w:t>
      </w:r>
      <w:r w:rsidR="006E3693">
        <w:t>co</w:t>
      </w:r>
      <w:r w:rsidR="00F1420A">
        <w:t>verage</w:t>
      </w:r>
      <w:r w:rsidR="006E3693">
        <w:t xml:space="preserve"> interval of similar accuracy. For many measurements today, the processing power of modern computers is sufficient for the duration of uncertainty propagations using Monte Carlo methods to be acceptable. However, in situations where the measurement model is very time-consuming to process, or where the uncertainty evaluation must be very fast, linear propagation techniques may be preferred.</w:t>
      </w:r>
    </w:p>
    <w:p w14:paraId="2F029E3C" w14:textId="1EF33B14" w:rsidR="00C134D7" w:rsidRDefault="00C134D7" w:rsidP="00C134D7">
      <w:r>
        <w:t xml:space="preserve">A detailed explanation of the steps involved in performing </w:t>
      </w:r>
      <w:r w:rsidR="006E3693">
        <w:t>a</w:t>
      </w:r>
      <w:r>
        <w:t xml:space="preserve"> Monte Carlo propagation can be found in Section 7 of [7].</w:t>
      </w:r>
    </w:p>
    <w:p w14:paraId="2324B5A3" w14:textId="77777777" w:rsidR="00C134D7" w:rsidRDefault="00C134D7" w:rsidP="00C134D7">
      <w:pPr>
        <w:keepNext/>
        <w:jc w:val="center"/>
      </w:pPr>
      <w:r>
        <w:rPr>
          <w:noProof/>
          <w:lang w:eastAsia="en-GB"/>
        </w:rPr>
        <w:drawing>
          <wp:inline distT="0" distB="0" distL="0" distR="0" wp14:anchorId="3B3BEA6C" wp14:editId="1BA6EA15">
            <wp:extent cx="3228975" cy="1831065"/>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83A77.tmp"/>
                    <pic:cNvPicPr/>
                  </pic:nvPicPr>
                  <pic:blipFill>
                    <a:blip r:embed="rId17">
                      <a:extLst>
                        <a:ext uri="{28A0092B-C50C-407E-A947-70E740481C1C}">
                          <a14:useLocalDpi xmlns:a14="http://schemas.microsoft.com/office/drawing/2010/main" val="0"/>
                        </a:ext>
                      </a:extLst>
                    </a:blip>
                    <a:stretch>
                      <a:fillRect/>
                    </a:stretch>
                  </pic:blipFill>
                  <pic:spPr>
                    <a:xfrm>
                      <a:off x="0" y="0"/>
                      <a:ext cx="3257241" cy="1847094"/>
                    </a:xfrm>
                    <a:prstGeom prst="rect">
                      <a:avLst/>
                    </a:prstGeom>
                  </pic:spPr>
                </pic:pic>
              </a:graphicData>
            </a:graphic>
          </wp:inline>
        </w:drawing>
      </w:r>
    </w:p>
    <w:p w14:paraId="57BB8748" w14:textId="7D961DEE" w:rsidR="00C134D7" w:rsidRDefault="00C134D7" w:rsidP="00C134D7">
      <w:pPr>
        <w:pStyle w:val="Caption"/>
        <w:jc w:val="center"/>
      </w:pPr>
      <w:r>
        <w:t xml:space="preserve">Figure </w:t>
      </w:r>
      <w:fldSimple w:instr=" SEQ Figure \* ARABIC ">
        <w:r>
          <w:rPr>
            <w:noProof/>
          </w:rPr>
          <w:t>5</w:t>
        </w:r>
      </w:fldSimple>
      <w:r>
        <w:t>: An illustration of the propagation of distributions from 3 input quantities g</w:t>
      </w:r>
      <w:r w:rsidRPr="00C134D7">
        <w:rPr>
          <w:vertAlign w:val="subscript"/>
        </w:rPr>
        <w:t>x1</w:t>
      </w:r>
      <w:r>
        <w:t>, g</w:t>
      </w:r>
      <w:r w:rsidRPr="00C134D7">
        <w:rPr>
          <w:vertAlign w:val="subscript"/>
        </w:rPr>
        <w:t>x2</w:t>
      </w:r>
      <w:r>
        <w:t>, g</w:t>
      </w:r>
      <w:r w:rsidRPr="00C134D7">
        <w:rPr>
          <w:vertAlign w:val="subscript"/>
        </w:rPr>
        <w:t>x3</w:t>
      </w:r>
      <w:r>
        <w:t xml:space="preserve">, through the measurement model, Y, to the </w:t>
      </w:r>
      <w:proofErr w:type="spellStart"/>
      <w:r>
        <w:t>measurand</w:t>
      </w:r>
      <w:proofErr w:type="spellEnd"/>
      <w:r>
        <w:t xml:space="preserve">, </w:t>
      </w:r>
      <w:proofErr w:type="spellStart"/>
      <w:r>
        <w:t>g</w:t>
      </w:r>
      <w:r w:rsidRPr="00C134D7">
        <w:rPr>
          <w:vertAlign w:val="subscript"/>
        </w:rPr>
        <w:t>Y</w:t>
      </w:r>
      <w:proofErr w:type="spellEnd"/>
      <w:r>
        <w:rPr>
          <w:vertAlign w:val="subscript"/>
        </w:rPr>
        <w:t xml:space="preserve"> </w:t>
      </w:r>
      <w:r>
        <w:t>[7].</w:t>
      </w:r>
    </w:p>
    <w:p w14:paraId="70CB8A75" w14:textId="7A1A54EB" w:rsidR="009A4E28" w:rsidRDefault="003676D5" w:rsidP="00333189">
      <w:pPr>
        <w:pStyle w:val="Heading2"/>
      </w:pPr>
      <w:r>
        <w:t>3.2</w:t>
      </w:r>
      <w:r w:rsidR="005B117E">
        <w:t>.</w:t>
      </w:r>
      <w:r>
        <w:t>3.2</w:t>
      </w:r>
      <w:r w:rsidR="005B117E">
        <w:t xml:space="preserve"> </w:t>
      </w:r>
      <w:r w:rsidR="009A4E28">
        <w:t>Law of Propagation of Uncertainty</w:t>
      </w:r>
    </w:p>
    <w:p w14:paraId="109ECDCF" w14:textId="6936E186" w:rsidR="008F7457" w:rsidRDefault="008F7457" w:rsidP="008F7457">
      <w:r>
        <w:t xml:space="preserve">The primary </w:t>
      </w:r>
      <w:r w:rsidR="006E3693">
        <w:t>propagation method presented in the GUM is the Law of Propagation of Uncertainty (LPU). This method uses first-order derivatives of the measurement model, together with the variances (and co-variances) of the input quantities, to determine a value for the combined standard uncertainty.</w:t>
      </w:r>
      <w:r w:rsidR="00811ABC">
        <w:t xml:space="preserve"> The use of first-order </w:t>
      </w:r>
      <w:proofErr w:type="spellStart"/>
      <w:r w:rsidR="00811ABC">
        <w:t>derivates</w:t>
      </w:r>
      <w:proofErr w:type="spellEnd"/>
      <w:r w:rsidR="00811ABC">
        <w:t xml:space="preserve"> </w:t>
      </w:r>
      <w:r w:rsidR="00E05328">
        <w:t xml:space="preserve">specifies a </w:t>
      </w:r>
      <w:proofErr w:type="spellStart"/>
      <w:r w:rsidR="00E05328">
        <w:t>linearised</w:t>
      </w:r>
      <w:proofErr w:type="spellEnd"/>
      <w:r w:rsidR="00E05328">
        <w:t xml:space="preserve"> measurement model, which in many applications is a valid assumption as discussed previously. The LPU provides different equations for combining independent (uncorrelated) and correlated input quantities. For independent input quantities, </w:t>
      </w:r>
    </w:p>
    <w:p w14:paraId="7976C12B" w14:textId="782734A7" w:rsidR="00E05328" w:rsidRPr="00E05328" w:rsidRDefault="00073204"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3.11</m:t>
                  </m:r>
                </m:e>
              </m:d>
            </m:e>
          </m:eqArr>
        </m:oMath>
      </m:oMathPara>
    </w:p>
    <w:p w14:paraId="75B109B1" w14:textId="29D0DE22" w:rsidR="008870D7" w:rsidRDefault="00E05328" w:rsidP="008F7457">
      <w:pPr>
        <w:rPr>
          <w:rFonts w:eastAsiaTheme="minorEastAsia"/>
        </w:rPr>
      </w:pPr>
      <w:proofErr w:type="gramStart"/>
      <w:r>
        <w:rPr>
          <w:rFonts w:eastAsiaTheme="minorEastAsia"/>
        </w:rPr>
        <w:t xml:space="preserve">where </w:t>
      </w:r>
      <w:proofErr w:type="gramEnd"/>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the combined variance, is the square of the combined standard uncertainty, </w:t>
      </w:r>
      <m:oMath>
        <m:r>
          <w:rPr>
            <w:rFonts w:ascii="Cambria Math" w:eastAsiaTheme="minorEastAsia" w:hAnsi="Cambria Math"/>
          </w:rPr>
          <m:t>f</m:t>
        </m:r>
      </m:oMath>
      <w:r>
        <w:rPr>
          <w:rFonts w:eastAsiaTheme="minorEastAsia"/>
        </w:rPr>
        <w:t xml:space="preserve"> is the function describing the measurement model,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an input quantity with variance </w:t>
      </w:r>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w:t>
      </w:r>
      <w:r w:rsidR="008870D7">
        <w:rPr>
          <w:rFonts w:eastAsiaTheme="minorEastAsia"/>
        </w:rPr>
        <w:t xml:space="preserve"> For correlated input quantities,</w:t>
      </w:r>
    </w:p>
    <w:p w14:paraId="4CE69066" w14:textId="45C370B2" w:rsidR="008870D7" w:rsidRPr="008870D7" w:rsidRDefault="00073204"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0" w:name="_Hlk510559767"/>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w:bookmarkEnd w:id="0"/>
                  <m:r>
                    <w:rPr>
                      <w:rFonts w:ascii="Cambria Math" w:hAnsi="Cambria Math"/>
                    </w:rPr>
                    <m:t>u</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3.12</m:t>
                  </m:r>
                </m:e>
              </m:d>
            </m:e>
          </m:eqArr>
        </m:oMath>
      </m:oMathPara>
    </w:p>
    <w:p w14:paraId="074EEE94" w14:textId="64690CF4" w:rsidR="00E05328" w:rsidRDefault="008870D7" w:rsidP="008F7457">
      <w:pPr>
        <w:rPr>
          <w:rFonts w:eastAsiaTheme="minorEastAsia"/>
        </w:rPr>
      </w:pPr>
      <w:r>
        <w:rPr>
          <w:rFonts w:eastAsiaTheme="minorEastAsia"/>
        </w:rPr>
        <w:t>Supplement 2 to the GUM offers a matrix formulation of (3.12)</w:t>
      </w:r>
      <w:r w:rsidR="00BF520E">
        <w:rPr>
          <w:rFonts w:eastAsiaTheme="minorEastAsia"/>
        </w:rPr>
        <w:t xml:space="preserve"> [8, 6.2.1.3]</w:t>
      </w:r>
      <w:r>
        <w:rPr>
          <w:rFonts w:eastAsiaTheme="minorEastAsia"/>
        </w:rPr>
        <w:t xml:space="preserve">, which handles the multivariate case where multiple </w:t>
      </w:r>
      <w:proofErr w:type="spellStart"/>
      <w:r>
        <w:rPr>
          <w:rFonts w:eastAsiaTheme="minorEastAsia"/>
        </w:rPr>
        <w:t>measurands</w:t>
      </w:r>
      <w:proofErr w:type="spellEnd"/>
      <w:r>
        <w:rPr>
          <w:rFonts w:eastAsiaTheme="minorEastAsia"/>
        </w:rPr>
        <w:t xml:space="preserve"> are </w:t>
      </w:r>
      <w:r w:rsidR="00BF520E">
        <w:rPr>
          <w:rFonts w:eastAsiaTheme="minorEastAsia"/>
        </w:rPr>
        <w:t xml:space="preserve">encountered. </w:t>
      </w:r>
      <w:r w:rsidR="008D266C">
        <w:rPr>
          <w:rFonts w:eastAsiaTheme="minorEastAsia"/>
        </w:rPr>
        <w:t>If t</w:t>
      </w:r>
      <w:r w:rsidR="00BF520E">
        <w:rPr>
          <w:rFonts w:eastAsiaTheme="minorEastAsia"/>
        </w:rPr>
        <w:t xml:space="preserve">he covariance matrix of dimension </w:t>
      </w:r>
      <m:oMath>
        <m:r>
          <w:rPr>
            <w:rFonts w:ascii="Cambria Math" w:eastAsiaTheme="minorEastAsia" w:hAnsi="Cambria Math"/>
          </w:rPr>
          <m:t>N×N</m:t>
        </m:r>
      </m:oMath>
      <w:r w:rsidR="00BF520E">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x</m:t>
            </m:r>
          </m:e>
        </m:acc>
      </m:oMath>
      <w:r w:rsidR="00BF520E">
        <w:rPr>
          <w:rFonts w:eastAsiaTheme="minorEastAsia"/>
        </w:rPr>
        <w:t xml:space="preserve"> is</w:t>
      </w:r>
    </w:p>
    <w:p w14:paraId="0B786535" w14:textId="30AD6671" w:rsidR="00BF520E" w:rsidRPr="001635CC" w:rsidRDefault="00073204"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7670B678" w14:textId="0CC521DC" w:rsidR="00756224" w:rsidRDefault="00756224" w:rsidP="00756224">
      <w:pPr>
        <w:rPr>
          <w:rFonts w:eastAsiaTheme="minorEastAsia"/>
        </w:rPr>
      </w:pPr>
      <w:proofErr w:type="gramStart"/>
      <w:r>
        <w:rPr>
          <w:rFonts w:eastAsiaTheme="minorEastAsia"/>
        </w:rPr>
        <w:t>the</w:t>
      </w:r>
      <w:proofErr w:type="gramEnd"/>
      <w:r>
        <w:rPr>
          <w:rFonts w:eastAsiaTheme="minorEastAsia"/>
        </w:rPr>
        <w:t xml:space="preserve"> covariance matrix of dimension </w:t>
      </w:r>
      <m:oMath>
        <m:r>
          <w:rPr>
            <w:rFonts w:ascii="Cambria Math" w:eastAsiaTheme="minorEastAsia" w:hAnsi="Cambria Math"/>
          </w:rPr>
          <m:t>m×m</m:t>
        </m:r>
      </m:oMath>
      <w:r>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y</m:t>
            </m:r>
          </m:e>
        </m:acc>
      </m:oMath>
      <w:r>
        <w:rPr>
          <w:rFonts w:eastAsiaTheme="minorEastAsia"/>
        </w:rPr>
        <w:t xml:space="preserve"> is</w:t>
      </w:r>
    </w:p>
    <w:p w14:paraId="6FDD525F" w14:textId="77777777" w:rsidR="00756224" w:rsidRPr="001635CC" w:rsidRDefault="00073204" w:rsidP="0075622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6222E818" w14:textId="4E9A2947" w:rsidR="00BF520E" w:rsidRDefault="001635CC" w:rsidP="008F7457">
      <w:pPr>
        <w:rPr>
          <w:rFonts w:eastAsiaTheme="minorEastAsia"/>
        </w:rPr>
      </w:pPr>
      <w:proofErr w:type="gramStart"/>
      <w:r>
        <w:rPr>
          <w:rFonts w:eastAsiaTheme="minorEastAsia"/>
        </w:rPr>
        <w:t>and</w:t>
      </w:r>
      <w:proofErr w:type="gramEnd"/>
      <w:r>
        <w:rPr>
          <w:rFonts w:eastAsiaTheme="minorEastAsia"/>
        </w:rPr>
        <w:t xml:space="preserve"> the sensitivity matrix </w:t>
      </w:r>
      <m:oMath>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oMath>
      <w:r>
        <w:rPr>
          <w:rFonts w:eastAsiaTheme="minorEastAsia"/>
        </w:rPr>
        <w:t xml:space="preserve"> of dimension </w:t>
      </w:r>
      <m:oMath>
        <m:r>
          <w:rPr>
            <w:rFonts w:ascii="Cambria Math" w:eastAsiaTheme="minorEastAsia" w:hAnsi="Cambria Math"/>
          </w:rPr>
          <m:t>m×N</m:t>
        </m:r>
      </m:oMath>
      <w:r>
        <w:rPr>
          <w:rFonts w:eastAsiaTheme="minorEastAsia"/>
        </w:rPr>
        <w:t xml:space="preserve"> containing the first-order partial derivatives of the measurement model to each input quantity (the Jacobian of the measurement model) is given by evaluating</w:t>
      </w:r>
    </w:p>
    <w:p w14:paraId="42EB2953" w14:textId="7915B7FC" w:rsidR="001635CC" w:rsidRPr="001635CC" w:rsidRDefault="00073204"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3.14</m:t>
                  </m:r>
                </m:e>
              </m:d>
            </m:e>
          </m:eqArr>
        </m:oMath>
      </m:oMathPara>
    </w:p>
    <w:p w14:paraId="256825C0" w14:textId="62D1C749" w:rsidR="001635CC" w:rsidRDefault="001635CC" w:rsidP="008F7457">
      <w:pPr>
        <w:rPr>
          <w:rFonts w:eastAsiaTheme="minorEastAsia"/>
        </w:rPr>
      </w:pPr>
      <w:r>
        <w:rPr>
          <w:rFonts w:eastAsiaTheme="minorEastAsia"/>
        </w:rPr>
        <w:t xml:space="preserve"> </w:t>
      </w:r>
      <w:proofErr w:type="gramStart"/>
      <w:r>
        <w:rPr>
          <w:rFonts w:eastAsiaTheme="minorEastAsia"/>
        </w:rPr>
        <w:t xml:space="preserve">at </w:t>
      </w:r>
      <w:proofErr w:type="gramEnd"/>
      <m:oMath>
        <m:r>
          <m:rP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oMath>
      <w:r>
        <w:rPr>
          <w:rFonts w:eastAsiaTheme="minorEastAsia"/>
        </w:rPr>
        <w:t xml:space="preserve">, then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rPr>
        <w:t xml:space="preserve"> is given by</w:t>
      </w:r>
    </w:p>
    <w:p w14:paraId="5F68C058" w14:textId="7C2198FD" w:rsidR="00756224" w:rsidRPr="00756224" w:rsidRDefault="00073204" w:rsidP="00756224">
      <w:pPr>
        <w:rPr>
          <w:rFonts w:eastAsiaTheme="minorEastAsia"/>
          <w:b/>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Sup>
                <m:sSubSupPr>
                  <m:ctrlPr>
                    <w:rPr>
                      <w:rFonts w:ascii="Cambria Math" w:eastAsiaTheme="minorEastAsia" w:hAnsi="Cambria Math"/>
                      <w:b/>
                      <w:i/>
                    </w:rPr>
                  </m:ctrlPr>
                </m:sSubSup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up>
                  <m:r>
                    <m:rPr>
                      <m:sty m:val="bi"/>
                    </m:rPr>
                    <w:rPr>
                      <w:rFonts w:ascii="Cambria Math" w:eastAsiaTheme="minorEastAsia" w:hAnsi="Cambria Math"/>
                    </w:rPr>
                    <m:t>⊤</m:t>
                  </m:r>
                </m:sup>
              </m:sSubSup>
              <m:r>
                <m:rPr>
                  <m:sty m:val="bi"/>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3.15</m:t>
                  </m:r>
                </m:e>
              </m:d>
            </m:e>
          </m:eqArr>
        </m:oMath>
      </m:oMathPara>
    </w:p>
    <w:p w14:paraId="2FF71C0B" w14:textId="03046306" w:rsidR="00756224" w:rsidRPr="00756224" w:rsidRDefault="00AA2F8E" w:rsidP="00756224">
      <w:pPr>
        <w:rPr>
          <w:rFonts w:eastAsiaTheme="minorEastAsia"/>
        </w:rPr>
      </w:pPr>
      <w:r>
        <w:rPr>
          <w:rFonts w:eastAsiaTheme="minorEastAsia"/>
        </w:rPr>
        <w:t xml:space="preserve">The LPU does not provide any information about the shape of the probability distribution of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b/>
        </w:rPr>
        <w:t xml:space="preserve"> </w:t>
      </w:r>
      <w:r w:rsidRPr="00AA2F8E">
        <w:rPr>
          <w:rFonts w:eastAsiaTheme="minorEastAsia"/>
        </w:rPr>
        <w:t>or its</w:t>
      </w:r>
      <w:r>
        <w:rPr>
          <w:rFonts w:eastAsiaTheme="minorEastAsia"/>
        </w:rPr>
        <w:t xml:space="preserve"> </w:t>
      </w:r>
      <w:r w:rsidRPr="00AA2F8E">
        <w:rPr>
          <w:rFonts w:eastAsiaTheme="minorEastAsia"/>
        </w:rPr>
        <w:t>com</w:t>
      </w:r>
      <w:r>
        <w:rPr>
          <w:rFonts w:eastAsiaTheme="minorEastAsia"/>
        </w:rPr>
        <w:t>ponents. The results of the measurement are obtained from the estimates and the combined standard uncertainties – the positive square roots of the diagonal terms of the covariance matrix.</w:t>
      </w:r>
    </w:p>
    <w:p w14:paraId="1F13819F" w14:textId="5A5797D9" w:rsidR="009A4E28" w:rsidRDefault="005B117E" w:rsidP="001F3C49">
      <w:pPr>
        <w:pStyle w:val="Heading2"/>
      </w:pPr>
      <w:r>
        <w:t xml:space="preserve">3.5.3 </w:t>
      </w:r>
      <w:r w:rsidR="009A4E28">
        <w:t>Finite Difference Methods</w:t>
      </w:r>
    </w:p>
    <w:p w14:paraId="6D69424A" w14:textId="5058C33E" w:rsidR="00AA2F8E" w:rsidRDefault="00AA2F8E" w:rsidP="00AA2F8E">
      <w:pPr>
        <w:rPr>
          <w:rFonts w:eastAsiaTheme="minorEastAsia"/>
        </w:rPr>
      </w:pPr>
      <w:r>
        <w:t xml:space="preserve">Included in the definition of the LPU is an alternative method of determining the </w:t>
      </w:r>
      <w:r w:rsidR="006B16A2">
        <w:t xml:space="preserve">sensitivity coefficients in (3.14), without the need to know </w:t>
      </w:r>
      <w:r w:rsidR="006B16A2">
        <w:rPr>
          <w:rFonts w:eastAsiaTheme="minorEastAsia"/>
        </w:rPr>
        <w:t xml:space="preserve">the measurement model </w:t>
      </w:r>
      <m:oMath>
        <m:r>
          <w:rPr>
            <w:rFonts w:ascii="Cambria Math" w:hAnsi="Cambria Math"/>
          </w:rPr>
          <m:t>f</m:t>
        </m:r>
      </m:oMath>
      <w:r w:rsidR="006B16A2">
        <w:rPr>
          <w:rFonts w:eastAsiaTheme="minorEastAsia"/>
        </w:rPr>
        <w:t xml:space="preserve"> explicitly. This technique can be described as a finite difference method and involves measuring the change in </w:t>
      </w:r>
      <m:oMath>
        <m:r>
          <w:rPr>
            <w:rFonts w:ascii="Cambria Math" w:eastAsiaTheme="minorEastAsia" w:hAnsi="Cambria Math"/>
          </w:rPr>
          <m:t>Y</m:t>
        </m:r>
      </m:oMath>
      <w:r w:rsidR="006B16A2">
        <w:rPr>
          <w:rFonts w:eastAsiaTheme="minorEastAsia"/>
        </w:rPr>
        <w:t xml:space="preserve"> while varying a particular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6A2">
        <w:rPr>
          <w:rFonts w:eastAsiaTheme="minorEastAsia"/>
        </w:rPr>
        <w:t xml:space="preserve"> and holding all other input quantities constant. This is often used in industry where there may not be a model available for a particular process, but a rudimentary uncertainty analysis is required. Typically, the sum of the estimate and the standard uncertainty of each input quantity</w:t>
      </w:r>
      <w:r w:rsidR="00C203B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6B16A2">
        <w:rPr>
          <w:rFonts w:eastAsiaTheme="minorEastAsia"/>
        </w:rPr>
        <w:t xml:space="preserve"> </w:t>
      </w:r>
      <w:proofErr w:type="gramStart"/>
      <w:r w:rsidR="00C203B3">
        <w:rPr>
          <w:rFonts w:eastAsiaTheme="minorEastAsia"/>
        </w:rPr>
        <w:t>is</w:t>
      </w:r>
      <w:proofErr w:type="gramEnd"/>
      <w:r w:rsidR="006B16A2">
        <w:rPr>
          <w:rFonts w:eastAsiaTheme="minorEastAsia"/>
        </w:rPr>
        <w:t xml:space="preserve"> used, although a more rigorous version also includes the standard uncertainty </w:t>
      </w:r>
      <w:r w:rsidR="006B16A2">
        <w:rPr>
          <w:rFonts w:eastAsiaTheme="minorEastAsia"/>
        </w:rPr>
        <w:lastRenderedPageBreak/>
        <w:t xml:space="preserve">subtracted from the estimate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C203B3">
        <w:rPr>
          <w:rFonts w:eastAsiaTheme="minorEastAsia"/>
        </w:rPr>
        <w:t xml:space="preserve"> </w:t>
      </w:r>
      <w:r w:rsidR="006B16A2">
        <w:rPr>
          <w:rFonts w:eastAsiaTheme="minorEastAsia"/>
        </w:rPr>
        <w:t>to check for asymmetry.</w:t>
      </w:r>
      <w:r w:rsidR="00287603">
        <w:rPr>
          <w:rFonts w:eastAsiaTheme="minorEastAsia"/>
        </w:rPr>
        <w:t xml:space="preserve"> Because only two points are used to solve for each sensitivity coefficient (the estimate and the estimate plus standard uncertainty), this uncertainty propagation also </w:t>
      </w:r>
      <w:proofErr w:type="spellStart"/>
      <w:r w:rsidR="00287603">
        <w:rPr>
          <w:rFonts w:eastAsiaTheme="minorEastAsia"/>
        </w:rPr>
        <w:t>linearises</w:t>
      </w:r>
      <w:proofErr w:type="spellEnd"/>
      <w:r w:rsidR="00287603">
        <w:rPr>
          <w:rFonts w:eastAsiaTheme="minorEastAsia"/>
        </w:rPr>
        <w:t xml:space="preserve"> the measurement model.</w:t>
      </w:r>
    </w:p>
    <w:p w14:paraId="6914BD38" w14:textId="165342C5" w:rsidR="00287603" w:rsidRDefault="00287603" w:rsidP="00AA2F8E">
      <w:r>
        <w:t xml:space="preserve">If all of the input quantities are considered independent and the standard uncertainty was chosen as the value with which to perturb the input quantities, then by subtracting the estimate of the </w:t>
      </w:r>
      <w:proofErr w:type="spellStart"/>
      <w:r>
        <w:t>measurand</w:t>
      </w:r>
      <w:proofErr w:type="spellEnd"/>
      <w:r>
        <w:t xml:space="preserve"> from each sample and </w:t>
      </w:r>
      <w:r w:rsidR="0091280E">
        <w:t>adding the results</w:t>
      </w:r>
      <w:r>
        <w:t xml:space="preserve"> in quadrature, the combined standard uncertainty in the </w:t>
      </w:r>
      <w:proofErr w:type="spellStart"/>
      <w:r>
        <w:t>measurand</w:t>
      </w:r>
      <w:proofErr w:type="spellEnd"/>
      <w:r>
        <w:t xml:space="preserve"> can be obtained</w:t>
      </w:r>
      <w:r w:rsidR="0091280E">
        <w:t xml:space="preserve"> easily</w:t>
      </w:r>
      <w:r w:rsidR="00C203B3">
        <w:t>:</w:t>
      </w:r>
    </w:p>
    <w:p w14:paraId="560EF17E" w14:textId="273F893E" w:rsidR="00C203B3" w:rsidRPr="00073204" w:rsidRDefault="00CD73B6" w:rsidP="00AA2F8E">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e>
          </m:ra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)#(3.16)</m:t>
          </m:r>
        </m:oMath>
      </m:oMathPara>
    </w:p>
    <w:p w14:paraId="1AE1DCAB" w14:textId="1C47A1C2" w:rsidR="009A4E28" w:rsidRDefault="005B117E" w:rsidP="001F3C49">
      <w:pPr>
        <w:pStyle w:val="Heading1"/>
      </w:pPr>
      <w:r>
        <w:t>3.</w:t>
      </w:r>
      <w:r w:rsidR="003676D5">
        <w:t>2.4</w:t>
      </w:r>
      <w:r>
        <w:t xml:space="preserve"> </w:t>
      </w:r>
      <w:r w:rsidR="009A4E28">
        <w:t>Expanded Uncertainty</w:t>
      </w:r>
      <w:r w:rsidR="009F4C32">
        <w:t xml:space="preserve"> and </w:t>
      </w:r>
      <w:r w:rsidR="00F1420A">
        <w:t>Coverage</w:t>
      </w:r>
      <w:r w:rsidR="009F4C32">
        <w:t xml:space="preserve"> Intervals</w:t>
      </w:r>
    </w:p>
    <w:p w14:paraId="2B5FEB48" w14:textId="5999117A" w:rsidR="003676D5" w:rsidRDefault="00CD73B6" w:rsidP="003676D5">
      <w:pPr>
        <w:rPr>
          <w:rFonts w:eastAsiaTheme="minorEastAsia"/>
        </w:rPr>
      </w:pPr>
      <w:r>
        <w:t xml:space="preserve">Although it is recommended to express a result with combined standard </w:t>
      </w:r>
      <w:proofErr w:type="gramStart"/>
      <w:r>
        <w:t xml:space="preserve">uncertainty </w:t>
      </w:r>
      <w:proofErr w:type="gramEnd"/>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it is often required, especially in safety critical applications, for the uncertainty to encompass a larger fraction of the distribution of values that could reasonably be attributed to the </w:t>
      </w:r>
      <w:proofErr w:type="spellStart"/>
      <w:r>
        <w:rPr>
          <w:rFonts w:eastAsiaTheme="minorEastAsia"/>
        </w:rPr>
        <w:t>measurand</w:t>
      </w:r>
      <w:proofErr w:type="spellEnd"/>
      <w:r>
        <w:rPr>
          <w:rFonts w:eastAsiaTheme="minorEastAsia"/>
        </w:rPr>
        <w:t xml:space="preserve">. An “expanded uncertainty” </w:t>
      </w:r>
      <m:oMath>
        <m:r>
          <w:rPr>
            <w:rFonts w:ascii="Cambria Math" w:eastAsiaTheme="minorEastAsia" w:hAnsi="Cambria Math"/>
          </w:rPr>
          <m:t>U</m:t>
        </m:r>
      </m:oMath>
      <w:r>
        <w:rPr>
          <w:rFonts w:eastAsiaTheme="minorEastAsia"/>
        </w:rPr>
        <w:t xml:space="preserve"> is instead used and is related to the combined uncertainty by </w:t>
      </w:r>
      <m:oMath>
        <m:r>
          <w:rPr>
            <w:rFonts w:ascii="Cambria Math" w:eastAsiaTheme="minorEastAsia" w:hAnsi="Cambria Math"/>
          </w:rPr>
          <m:t>U=k</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sidR="00E42774">
        <w:rPr>
          <w:rFonts w:eastAsiaTheme="minorEastAsia"/>
        </w:rPr>
        <w:t xml:space="preserve"> [5, 6.2.1]</w:t>
      </w:r>
      <w:r>
        <w:rPr>
          <w:rFonts w:eastAsiaTheme="minorEastAsia"/>
        </w:rPr>
        <w:t xml:space="preserve">. The multiplying factor </w:t>
      </w:r>
      <m:oMath>
        <m:r>
          <w:rPr>
            <w:rFonts w:ascii="Cambria Math" w:eastAsiaTheme="minorEastAsia" w:hAnsi="Cambria Math"/>
          </w:rPr>
          <m:t>k</m:t>
        </m:r>
      </m:oMath>
      <w:r>
        <w:rPr>
          <w:rFonts w:eastAsiaTheme="minorEastAsia"/>
        </w:rPr>
        <w:t xml:space="preserve"> is termed the “coverage factor” and is typically in the range 2 to 3, often either of those two integer values. </w:t>
      </w:r>
      <w:r w:rsidR="00E42774">
        <w:rPr>
          <w:rFonts w:eastAsiaTheme="minorEastAsia"/>
        </w:rPr>
        <w:t xml:space="preserve">Using expanded uncertainties, the result can be expressed </w:t>
      </w:r>
      <w:proofErr w:type="gramStart"/>
      <w:r w:rsidR="00E42774">
        <w:rPr>
          <w:rFonts w:eastAsiaTheme="minorEastAsia"/>
        </w:rPr>
        <w:t xml:space="preserve">as </w:t>
      </w:r>
      <w:proofErr w:type="gramEnd"/>
      <m:oMath>
        <m:acc>
          <m:accPr>
            <m:chr m:val="̅"/>
            <m:ctrlPr>
              <w:rPr>
                <w:rFonts w:ascii="Cambria Math" w:hAnsi="Cambria Math"/>
                <w:i/>
              </w:rPr>
            </m:ctrlPr>
          </m:accPr>
          <m:e>
            <m:r>
              <w:rPr>
                <w:rFonts w:ascii="Cambria Math" w:hAnsi="Cambria Math"/>
              </w:rPr>
              <m:t>y</m:t>
            </m:r>
          </m:e>
        </m:acc>
        <m:r>
          <w:rPr>
            <w:rFonts w:ascii="Cambria Math" w:hAnsi="Cambria Math"/>
          </w:rPr>
          <m:t>±U</m:t>
        </m:r>
      </m:oMath>
      <w:r w:rsidR="00E42774">
        <w:rPr>
          <w:rFonts w:eastAsiaTheme="minorEastAsia"/>
        </w:rPr>
        <w:t>, which is a popular format for datasheets and specifications.</w:t>
      </w:r>
    </w:p>
    <w:p w14:paraId="60404C29" w14:textId="1010BC0E" w:rsidR="00E42774" w:rsidRDefault="00E42774" w:rsidP="003676D5">
      <w:pPr>
        <w:rPr>
          <w:rFonts w:eastAsiaTheme="minorEastAsia"/>
        </w:rPr>
      </w:pPr>
      <w:r>
        <w:rPr>
          <w:rFonts w:eastAsiaTheme="minorEastAsia"/>
        </w:rPr>
        <w:t xml:space="preserve">To obtain a coverage factor that provides a given level of confidence (e.g. 95%) is not straightforward, and depends on the probability distribution of the </w:t>
      </w:r>
      <w:proofErr w:type="spellStart"/>
      <w:r>
        <w:rPr>
          <w:rFonts w:eastAsiaTheme="minorEastAsia"/>
        </w:rPr>
        <w:t>measurand</w:t>
      </w:r>
      <w:proofErr w:type="spellEnd"/>
      <w:r>
        <w:rPr>
          <w:rFonts w:eastAsiaTheme="minorEastAsia"/>
        </w:rPr>
        <w:t xml:space="preserve">. If </w:t>
      </w:r>
      <w:r>
        <w:rPr>
          <w:rFonts w:eastAsiaTheme="minorEastAsia"/>
        </w:rPr>
        <w:t xml:space="preserve">all input quantities are Category </w:t>
      </w:r>
      <w:proofErr w:type="gramStart"/>
      <w:r>
        <w:rPr>
          <w:rFonts w:eastAsiaTheme="minorEastAsia"/>
        </w:rPr>
        <w:t>A</w:t>
      </w:r>
      <w:proofErr w:type="gramEnd"/>
      <w:r>
        <w:rPr>
          <w:rFonts w:eastAsiaTheme="minorEastAsia"/>
        </w:rPr>
        <w:t xml:space="preserve"> uncertainty components and the measurement </w:t>
      </w:r>
      <w:r>
        <w:rPr>
          <w:rFonts w:eastAsiaTheme="minorEastAsia"/>
        </w:rPr>
        <w:t xml:space="preserve">model is linear, then the </w:t>
      </w:r>
      <w:proofErr w:type="spellStart"/>
      <w:r>
        <w:rPr>
          <w:rFonts w:eastAsiaTheme="minorEastAsia"/>
        </w:rPr>
        <w:t>measurand</w:t>
      </w:r>
      <w:proofErr w:type="spellEnd"/>
      <w:r>
        <w:rPr>
          <w:rFonts w:eastAsiaTheme="minorEastAsia"/>
        </w:rPr>
        <w:t xml:space="preserve"> distribution can be assumed to be Gaussian</w:t>
      </w:r>
      <w:r w:rsidR="00C954FF">
        <w:rPr>
          <w:rFonts w:eastAsiaTheme="minorEastAsia"/>
        </w:rPr>
        <w:t xml:space="preserve">. In this case, the coverage interval is known as a confidence interval and can be given as a percentage </w:t>
      </w:r>
      <w:proofErr w:type="gramStart"/>
      <w:r w:rsidR="00C954FF">
        <w:rPr>
          <w:rFonts w:eastAsiaTheme="minorEastAsia"/>
        </w:rPr>
        <w:t>by</w:t>
      </w:r>
      <w:r w:rsidR="005A330B">
        <w:rPr>
          <w:rFonts w:eastAsiaTheme="minorEastAsia"/>
        </w:rPr>
        <w:t xml:space="preserve">  </w:t>
      </w:r>
      <w:proofErr w:type="gramEnd"/>
      <m:oMath>
        <m:r>
          <m:rPr>
            <m:sty m:val="p"/>
          </m:rPr>
          <w:rPr>
            <w:rFonts w:ascii="Cambria Math" w:eastAsiaTheme="minorEastAsia" w:hAnsi="Cambria Math"/>
          </w:rPr>
          <m:t>erf⁡</m:t>
        </m:r>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2)×100</m:t>
        </m:r>
      </m:oMath>
      <w:r w:rsidR="00C954FF">
        <w:rPr>
          <w:rFonts w:eastAsiaTheme="minorEastAsia"/>
        </w:rPr>
        <w:t xml:space="preserve">, </w:t>
      </w:r>
      <w:r w:rsidR="005A330B">
        <w:rPr>
          <w:rFonts w:eastAsiaTheme="minorEastAsia"/>
        </w:rPr>
        <w:t xml:space="preserve">where </w:t>
      </w:r>
      <m:oMath>
        <m:r>
          <m:rPr>
            <m:sty m:val="p"/>
          </m:rPr>
          <w:rPr>
            <w:rFonts w:ascii="Cambria Math" w:eastAsiaTheme="minorEastAsia" w:hAnsi="Cambria Math"/>
          </w:rPr>
          <m:t>erf⁡</m:t>
        </m:r>
        <m:r>
          <w:rPr>
            <w:rFonts w:ascii="Cambria Math" w:eastAsiaTheme="minorEastAsia" w:hAnsi="Cambria Math"/>
          </w:rPr>
          <m:t>()</m:t>
        </m:r>
      </m:oMath>
      <w:r w:rsidR="005A330B">
        <w:rPr>
          <w:rFonts w:eastAsiaTheme="minorEastAsia"/>
        </w:rPr>
        <w:t xml:space="preserve"> is the Gauss error function.</w:t>
      </w:r>
      <w:r w:rsidR="00F8202B">
        <w:rPr>
          <w:rFonts w:eastAsiaTheme="minorEastAsia"/>
        </w:rPr>
        <w:t xml:space="preserve"> </w:t>
      </w:r>
    </w:p>
    <w:p w14:paraId="0253D158" w14:textId="7AE80BC8" w:rsidR="005A330B" w:rsidRPr="00F8202B" w:rsidRDefault="005A330B" w:rsidP="005A330B">
      <w:pPr>
        <w:rPr>
          <w:rFonts w:eastAsiaTheme="minorEastAsia"/>
        </w:rPr>
      </w:pPr>
      <w:r>
        <w:rPr>
          <w:rFonts w:eastAsiaTheme="minorEastAsia"/>
        </w:rPr>
        <w:t xml:space="preserve">In situations where the above conditions cannot be met, a level of confidence can be obtained by calculating the effective degrees of freedom </w:t>
      </w:r>
      <m:oMath>
        <m:sSub>
          <m:sSubPr>
            <m:ctrlPr>
              <w:rPr>
                <w:rFonts w:ascii="Cambria Math" w:eastAsiaTheme="minorEastAsia" w:hAnsi="Cambria Math"/>
                <w:i/>
              </w:rPr>
            </m:ctrlPr>
          </m:sSubPr>
          <m:e>
            <m:r>
              <w:rPr>
                <w:rFonts w:ascii="Cambria Math" w:eastAsiaTheme="minorEastAsia" w:hAnsi="Cambria Math"/>
              </w:rPr>
              <m:t>ν</m:t>
            </m:r>
          </m:e>
          <m:sub>
            <m:r>
              <m:rPr>
                <m:nor/>
              </m:rPr>
              <w:rPr>
                <w:rFonts w:ascii="Cambria Math" w:eastAsiaTheme="minorEastAsia" w:hAnsi="Cambria Math"/>
              </w:rPr>
              <m:t>eff</m:t>
            </m:r>
          </m:sub>
        </m:sSub>
      </m:oMath>
      <w:r>
        <w:rPr>
          <w:rFonts w:eastAsiaTheme="minorEastAsia"/>
        </w:rPr>
        <w:t xml:space="preserve"> of the distribution of the measurand. This process </w:t>
      </w:r>
      <w:r w:rsidR="00F8202B">
        <w:rPr>
          <w:rFonts w:eastAsiaTheme="minorEastAsia"/>
        </w:rPr>
        <w:t>is explained in Annex G of [5].</w:t>
      </w:r>
      <w:r w:rsidR="00513BC1">
        <w:rPr>
          <w:rFonts w:eastAsiaTheme="minorEastAsia"/>
        </w:rPr>
        <w:t xml:space="preserve"> For Monte Carlo propagations with sufficient samples, the confidence interval can be found by analysing the distribution of the </w:t>
      </w:r>
      <w:proofErr w:type="spellStart"/>
      <w:r w:rsidR="00513BC1">
        <w:rPr>
          <w:rFonts w:eastAsiaTheme="minorEastAsia"/>
        </w:rPr>
        <w:t>measurand</w:t>
      </w:r>
      <w:proofErr w:type="spellEnd"/>
      <w:r w:rsidR="00513BC1">
        <w:rPr>
          <w:rFonts w:eastAsiaTheme="minorEastAsia"/>
        </w:rPr>
        <w:t xml:space="preserve"> and obtaining the deviation from the estimated value which encompasses the desired percentage of samples (e.g. 95%).</w:t>
      </w:r>
    </w:p>
    <w:p w14:paraId="031553D1" w14:textId="17E353DB" w:rsidR="003676D5" w:rsidRDefault="003676D5" w:rsidP="003676D5">
      <w:pPr>
        <w:pStyle w:val="Heading1"/>
      </w:pPr>
      <w:r>
        <w:lastRenderedPageBreak/>
        <w:t>3.3 Sensitivity Analysis</w:t>
      </w:r>
    </w:p>
    <w:p w14:paraId="15ECA887" w14:textId="6BCFCC59" w:rsidR="0021033D" w:rsidRPr="0021033D" w:rsidRDefault="00513BC1" w:rsidP="0021033D">
      <w:r>
        <w:t xml:space="preserve">A major benefit of propagating uncertainties through the measurement model is that an analysis of the sensitivity of the </w:t>
      </w:r>
      <w:proofErr w:type="spellStart"/>
      <w:r>
        <w:t>measurands</w:t>
      </w:r>
      <w:proofErr w:type="spellEnd"/>
      <w:r>
        <w:t xml:space="preserve"> to each input quantity can be performed. The sensitivity coefficients obtained via </w:t>
      </w:r>
      <w:bookmarkStart w:id="1" w:name="_GoBack"/>
      <w:bookmarkEnd w:id="1"/>
    </w:p>
    <w:p w14:paraId="255AF709" w14:textId="41EFE639" w:rsidR="009A4E28" w:rsidRDefault="005B117E" w:rsidP="001F3C49">
      <w:pPr>
        <w:pStyle w:val="Heading1"/>
      </w:pPr>
      <w:r>
        <w:t>3.</w:t>
      </w:r>
      <w:r w:rsidR="003676D5">
        <w:t>4</w:t>
      </w:r>
      <w:r>
        <w:t xml:space="preserve"> </w:t>
      </w:r>
      <w:r w:rsidR="009A4E28">
        <w:t>Conclusions</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Aaen, N.M. Ridler, Comparing methods for evaluating measurement uncertainty given in the JCGM ‘Evaluation of Measurement Data’ documents, Measurement, Volume 94, 2016, Pages 847-851, ISSN 0263-2241, </w:t>
      </w:r>
      <w:hyperlink r:id="rId18"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9"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20"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xml:space="preserve">] International Organization for Standardization 1993 Guide to the Expression of Uncertainty in Measurement 1st </w:t>
      </w:r>
      <w:proofErr w:type="spellStart"/>
      <w:proofErr w:type="gramStart"/>
      <w:r>
        <w:t>ed</w:t>
      </w:r>
      <w:proofErr w:type="spellEnd"/>
      <w:proofErr w:type="gramEnd"/>
      <w:r>
        <w:t xml:space="preserve">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21"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2"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3"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4" w:history="1">
        <w:r w:rsidRPr="00A501B0">
          <w:rPr>
            <w:rStyle w:val="Hyperlink"/>
          </w:rPr>
          <w:t>http://www.bipm.org/utils/common/documents/jcgm/JCGM 102 2011 E.pdf</w:t>
        </w:r>
      </w:hyperlink>
    </w:p>
    <w:p w14:paraId="73AD2A8F" w14:textId="243FE05E" w:rsidR="00B47DD2" w:rsidRDefault="00B47DD2" w:rsidP="00B47DD2">
      <w:r>
        <w:t>[</w:t>
      </w:r>
      <w:r w:rsidR="0039199B">
        <w:t>9</w:t>
      </w:r>
      <w:r>
        <w:t xml:space="preserve">] N. Metropolis, S. </w:t>
      </w:r>
      <w:proofErr w:type="spellStart"/>
      <w:r>
        <w:t>Ulam</w:t>
      </w:r>
      <w:proofErr w:type="spellEnd"/>
      <w:r>
        <w:t>, The Monte Carlo method, J. Am. Stat. Assoc., 44 (1949), pp. 335-341</w:t>
      </w:r>
    </w:p>
    <w:p w14:paraId="2BDC297F" w14:textId="77777777" w:rsidR="00040CE0" w:rsidRDefault="00040CE0" w:rsidP="00040CE0">
      <w:r>
        <w:t xml:space="preserve">[10] J. </w:t>
      </w:r>
      <w:proofErr w:type="spellStart"/>
      <w:r>
        <w:t>Neyman</w:t>
      </w:r>
      <w:proofErr w:type="spellEnd"/>
      <w:r>
        <w:t>,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xml:space="preserve">] A. </w:t>
      </w:r>
      <w:proofErr w:type="spellStart"/>
      <w:r>
        <w:t>Gelman</w:t>
      </w:r>
      <w:proofErr w:type="spellEnd"/>
      <w:r>
        <w:t>, J. Carlin, H. Stern, D. Rubin, Bayesian Data Analysis, Chapman &amp; Hall, London (2003)</w:t>
      </w:r>
    </w:p>
    <w:p w14:paraId="4655DF65" w14:textId="22A66D79" w:rsidR="001707AE" w:rsidRDefault="001707AE" w:rsidP="001707AE">
      <w:r>
        <w:t xml:space="preserve">[12] D. White, In pursuit of a fit-for-purpose uncertainty guide, </w:t>
      </w:r>
      <w:proofErr w:type="spellStart"/>
      <w:r>
        <w:t>Metrologia</w:t>
      </w:r>
      <w:proofErr w:type="spellEnd"/>
      <w:r>
        <w:t xml:space="preserve"> 53 (4) (2016) S107–24</w:t>
      </w:r>
    </w:p>
    <w:p w14:paraId="418F35D6" w14:textId="67987D0B" w:rsidR="00040CE0" w:rsidRDefault="00040CE0" w:rsidP="00B47DD2">
      <w:r>
        <w:t>[1</w:t>
      </w:r>
      <w:r w:rsidR="001707AE">
        <w:t>3</w:t>
      </w:r>
      <w:r>
        <w:t xml:space="preserve">] </w:t>
      </w:r>
      <w:proofErr w:type="spellStart"/>
      <w:r w:rsidRPr="00040CE0">
        <w:t>Kacker</w:t>
      </w:r>
      <w:proofErr w:type="spellEnd"/>
      <w:r w:rsidRPr="00040CE0">
        <w:t xml:space="preserve"> R and Jones A 2003 </w:t>
      </w:r>
      <w:proofErr w:type="spellStart"/>
      <w:r w:rsidRPr="00040CE0">
        <w:t>Metrologia</w:t>
      </w:r>
      <w:proofErr w:type="spellEnd"/>
      <w:r w:rsidRPr="00040CE0">
        <w:t xml:space="preserve"> 40 235</w:t>
      </w:r>
      <w:r>
        <w:t>—</w:t>
      </w:r>
      <w:r w:rsidRPr="00040CE0">
        <w:t>48</w:t>
      </w:r>
      <w:r>
        <w:t xml:space="preserve"> </w:t>
      </w:r>
    </w:p>
    <w:p w14:paraId="54BD6332" w14:textId="04C5118D" w:rsidR="00040CE0" w:rsidRDefault="00040CE0" w:rsidP="00B47DD2">
      <w:r>
        <w:t>[1</w:t>
      </w:r>
      <w:r w:rsidR="001707AE">
        <w:t>4</w:t>
      </w:r>
      <w:r>
        <w:t xml:space="preserve">] </w:t>
      </w:r>
      <w:proofErr w:type="spellStart"/>
      <w:r w:rsidRPr="00040CE0">
        <w:t>Kacker</w:t>
      </w:r>
      <w:proofErr w:type="spellEnd"/>
      <w:r w:rsidRPr="00040CE0">
        <w:t xml:space="preserve"> R 2006 </w:t>
      </w:r>
      <w:proofErr w:type="spellStart"/>
      <w:r w:rsidRPr="00040CE0">
        <w:t>Metrologia</w:t>
      </w:r>
      <w:proofErr w:type="spellEnd"/>
      <w:r w:rsidRPr="00040CE0">
        <w:t xml:space="preserve"> 43 1</w:t>
      </w:r>
      <w:r>
        <w:t>—</w:t>
      </w:r>
      <w:r w:rsidRPr="00040CE0">
        <w:t>11</w:t>
      </w:r>
      <w:r>
        <w:t xml:space="preserve"> </w:t>
      </w:r>
    </w:p>
    <w:p w14:paraId="0B89E7D2" w14:textId="18F4B597" w:rsidR="00040CE0" w:rsidRDefault="00040CE0" w:rsidP="00B47DD2">
      <w:r>
        <w:lastRenderedPageBreak/>
        <w:t>[1</w:t>
      </w:r>
      <w:r w:rsidR="001707AE">
        <w:t>5</w:t>
      </w:r>
      <w:r>
        <w:t xml:space="preserve">] </w:t>
      </w:r>
      <w:proofErr w:type="spellStart"/>
      <w:r w:rsidRPr="00040CE0">
        <w:t>Kacker</w:t>
      </w:r>
      <w:proofErr w:type="spellEnd"/>
      <w:r w:rsidRPr="00040CE0">
        <w:t xml:space="preserve"> R, </w:t>
      </w:r>
      <w:proofErr w:type="spellStart"/>
      <w:r w:rsidRPr="00040CE0">
        <w:t>Toman</w:t>
      </w:r>
      <w:proofErr w:type="spellEnd"/>
      <w:r w:rsidRPr="00040CE0">
        <w:t xml:space="preserve"> B and Huang D 2006 </w:t>
      </w:r>
      <w:proofErr w:type="spellStart"/>
      <w:r w:rsidRPr="00040CE0">
        <w:t>Metrologia</w:t>
      </w:r>
      <w:proofErr w:type="spellEnd"/>
      <w:r w:rsidRPr="00040CE0">
        <w:t xml:space="preserve"> 43 S167</w:t>
      </w:r>
      <w:r>
        <w:t>—</w:t>
      </w:r>
      <w:r w:rsidRPr="00040CE0">
        <w:t>77</w:t>
      </w:r>
      <w:r>
        <w:t xml:space="preserve"> </w:t>
      </w:r>
    </w:p>
    <w:p w14:paraId="1483489E" w14:textId="4252524D" w:rsidR="00040CE0" w:rsidRDefault="00040CE0" w:rsidP="00B47DD2">
      <w:r>
        <w:t>[1</w:t>
      </w:r>
      <w:r w:rsidR="001707AE">
        <w:t>6</w:t>
      </w:r>
      <w:r>
        <w:t xml:space="preserve">] </w:t>
      </w:r>
      <w:proofErr w:type="spellStart"/>
      <w:r w:rsidRPr="00040CE0">
        <w:t>Bich</w:t>
      </w:r>
      <w:proofErr w:type="spellEnd"/>
      <w:r w:rsidRPr="00040CE0">
        <w:t xml:space="preserve"> W 2014 </w:t>
      </w:r>
      <w:proofErr w:type="spellStart"/>
      <w:r w:rsidRPr="00040CE0">
        <w:t>Metrologia</w:t>
      </w:r>
      <w:proofErr w:type="spellEnd"/>
      <w:r w:rsidRPr="00040CE0">
        <w:t xml:space="preserve"> 51 S155</w:t>
      </w:r>
      <w:r>
        <w:t>—</w:t>
      </w:r>
      <w:r w:rsidRPr="00040CE0">
        <w:t>58</w:t>
      </w:r>
    </w:p>
    <w:p w14:paraId="276661EE" w14:textId="3FBD366B" w:rsidR="00040CE0" w:rsidRDefault="00BB0A18" w:rsidP="00B47DD2">
      <w:r>
        <w:t>[1</w:t>
      </w:r>
      <w:r w:rsidR="001707AE">
        <w:t>7</w:t>
      </w:r>
      <w:r>
        <w:t xml:space="preserve">] </w:t>
      </w:r>
      <w:proofErr w:type="spellStart"/>
      <w:r w:rsidRPr="00BB0A18">
        <w:t>Elster</w:t>
      </w:r>
      <w:proofErr w:type="spellEnd"/>
      <w:r w:rsidRPr="00BB0A18">
        <w:t xml:space="preserve"> C, </w:t>
      </w:r>
      <w:proofErr w:type="spellStart"/>
      <w:r w:rsidRPr="00BB0A18">
        <w:t>W</w:t>
      </w:r>
      <w:r w:rsidRPr="00BB0A18">
        <w:rPr>
          <w:rFonts w:cstheme="minorHAnsi"/>
        </w:rPr>
        <w:t>ö</w:t>
      </w:r>
      <w:r w:rsidRPr="00BB0A18">
        <w:t>ger</w:t>
      </w:r>
      <w:proofErr w:type="spellEnd"/>
      <w:r w:rsidRPr="00BB0A18">
        <w:t xml:space="preserve"> W and Cox M G 2007 </w:t>
      </w:r>
      <w:proofErr w:type="spellStart"/>
      <w:r w:rsidRPr="00BB0A18">
        <w:t>Metrologia</w:t>
      </w:r>
      <w:proofErr w:type="spellEnd"/>
      <w:r w:rsidRPr="00BB0A18">
        <w:t xml:space="preserve">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0F5B6334" w:rsidR="00A2440C" w:rsidRDefault="00DD153A" w:rsidP="00BE5E24">
      <w:pPr>
        <w:pStyle w:val="Heading1"/>
      </w:pPr>
      <w:r>
        <w:lastRenderedPageBreak/>
        <w:t>L</w:t>
      </w:r>
      <w:r w:rsidR="00BE5E24">
        <w:t xml:space="preserve">ist of </w:t>
      </w:r>
      <w:r>
        <w:t>F</w:t>
      </w:r>
      <w:r w:rsidR="00BE5E24">
        <w:t>igures</w:t>
      </w:r>
    </w:p>
    <w:p w14:paraId="03BA14BB" w14:textId="2482976B" w:rsidR="00DD153A" w:rsidRDefault="00073204" w:rsidP="00BE5E24">
      <w:pPr>
        <w:pStyle w:val="ListParagraph"/>
        <w:numPr>
          <w:ilvl w:val="0"/>
          <w:numId w:val="2"/>
        </w:numPr>
      </w:pPr>
      <w:hyperlink r:id="rId25" w:history="1">
        <w:r w:rsidR="00BE5E24" w:rsidRPr="00A501B0">
          <w:rPr>
            <w:rStyle w:val="Hyperlink"/>
          </w:rPr>
          <w:t>https://commons.wikimedia.org/wiki/File:Louvres-antiquites-egyptiennes-img_2748.jpg</w:t>
        </w:r>
      </w:hyperlink>
      <w:r w:rsidR="00DD153A">
        <w:t xml:space="preserve"> </w:t>
      </w:r>
    </w:p>
    <w:p w14:paraId="40F7BB8A" w14:textId="0DAA9BD4" w:rsidR="00BE5E24" w:rsidRDefault="00BE5E24" w:rsidP="00BE5E24">
      <w:pPr>
        <w:pStyle w:val="ListParagraph"/>
        <w:numPr>
          <w:ilvl w:val="0"/>
          <w:numId w:val="2"/>
        </w:numPr>
      </w:pPr>
      <w:r>
        <w:t>Own work</w:t>
      </w:r>
    </w:p>
    <w:p w14:paraId="7D359401" w14:textId="6BB381AE" w:rsidR="00572896" w:rsidRDefault="00572896" w:rsidP="00BE5E24">
      <w:pPr>
        <w:pStyle w:val="ListParagraph"/>
        <w:numPr>
          <w:ilvl w:val="0"/>
          <w:numId w:val="2"/>
        </w:numPr>
      </w:pPr>
      <w:r>
        <w:t>Own work [1]</w:t>
      </w:r>
    </w:p>
    <w:p w14:paraId="0B7BEFE4" w14:textId="030734DE" w:rsidR="00572896" w:rsidRDefault="00572896" w:rsidP="00BE5E24">
      <w:pPr>
        <w:pStyle w:val="ListParagraph"/>
        <w:numPr>
          <w:ilvl w:val="0"/>
          <w:numId w:val="2"/>
        </w:numPr>
      </w:pPr>
      <w:r>
        <w:t>Own work [1]</w:t>
      </w:r>
    </w:p>
    <w:p w14:paraId="4683D06F" w14:textId="038F0989" w:rsidR="00C134D7" w:rsidRPr="00A2440C" w:rsidRDefault="00C134D7" w:rsidP="00BE5E24">
      <w:pPr>
        <w:pStyle w:val="ListParagraph"/>
        <w:numPr>
          <w:ilvl w:val="0"/>
          <w:numId w:val="2"/>
        </w:numPr>
      </w:pPr>
      <w:r>
        <w:t>Gum Supplement 1 [7]</w:t>
      </w:r>
    </w:p>
    <w:sectPr w:rsidR="00C134D7"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0A2CF9"/>
    <w:multiLevelType w:val="hybridMultilevel"/>
    <w:tmpl w:val="1438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28"/>
    <w:rsid w:val="0001010A"/>
    <w:rsid w:val="00014322"/>
    <w:rsid w:val="000218EB"/>
    <w:rsid w:val="0002288A"/>
    <w:rsid w:val="00040CE0"/>
    <w:rsid w:val="00073204"/>
    <w:rsid w:val="000837FA"/>
    <w:rsid w:val="000D377E"/>
    <w:rsid w:val="000D3DA5"/>
    <w:rsid w:val="000E0BB6"/>
    <w:rsid w:val="00116803"/>
    <w:rsid w:val="001215A0"/>
    <w:rsid w:val="00131620"/>
    <w:rsid w:val="001635CC"/>
    <w:rsid w:val="001707AE"/>
    <w:rsid w:val="001A588B"/>
    <w:rsid w:val="001C2379"/>
    <w:rsid w:val="001E2B82"/>
    <w:rsid w:val="001F3C49"/>
    <w:rsid w:val="0021033D"/>
    <w:rsid w:val="00222745"/>
    <w:rsid w:val="002237E1"/>
    <w:rsid w:val="00223DFA"/>
    <w:rsid w:val="002757CF"/>
    <w:rsid w:val="00287603"/>
    <w:rsid w:val="003020AA"/>
    <w:rsid w:val="00331531"/>
    <w:rsid w:val="00333189"/>
    <w:rsid w:val="0035209F"/>
    <w:rsid w:val="00361146"/>
    <w:rsid w:val="00361DD2"/>
    <w:rsid w:val="00363C35"/>
    <w:rsid w:val="003676D5"/>
    <w:rsid w:val="0039199B"/>
    <w:rsid w:val="00395F7B"/>
    <w:rsid w:val="00404F62"/>
    <w:rsid w:val="00417B01"/>
    <w:rsid w:val="00422A98"/>
    <w:rsid w:val="004246A1"/>
    <w:rsid w:val="00426AA9"/>
    <w:rsid w:val="004970AE"/>
    <w:rsid w:val="004B2A08"/>
    <w:rsid w:val="004C6BF7"/>
    <w:rsid w:val="004C772E"/>
    <w:rsid w:val="004F135E"/>
    <w:rsid w:val="004F2F37"/>
    <w:rsid w:val="00506D73"/>
    <w:rsid w:val="005075BE"/>
    <w:rsid w:val="00513ADD"/>
    <w:rsid w:val="00513BC1"/>
    <w:rsid w:val="0052509C"/>
    <w:rsid w:val="00534EE3"/>
    <w:rsid w:val="00572896"/>
    <w:rsid w:val="00581C16"/>
    <w:rsid w:val="005A330B"/>
    <w:rsid w:val="005B0059"/>
    <w:rsid w:val="005B117E"/>
    <w:rsid w:val="005C2B7F"/>
    <w:rsid w:val="005D08E4"/>
    <w:rsid w:val="00626193"/>
    <w:rsid w:val="0067067C"/>
    <w:rsid w:val="00670FF8"/>
    <w:rsid w:val="006844FD"/>
    <w:rsid w:val="006B16A2"/>
    <w:rsid w:val="006E3693"/>
    <w:rsid w:val="00720161"/>
    <w:rsid w:val="007416E4"/>
    <w:rsid w:val="0075412B"/>
    <w:rsid w:val="00756224"/>
    <w:rsid w:val="00756DB5"/>
    <w:rsid w:val="007C258C"/>
    <w:rsid w:val="007E0673"/>
    <w:rsid w:val="00805A9E"/>
    <w:rsid w:val="00811ABC"/>
    <w:rsid w:val="00811B36"/>
    <w:rsid w:val="00854B29"/>
    <w:rsid w:val="00854E71"/>
    <w:rsid w:val="008643FE"/>
    <w:rsid w:val="008870D7"/>
    <w:rsid w:val="008C278F"/>
    <w:rsid w:val="008D266C"/>
    <w:rsid w:val="008E59ED"/>
    <w:rsid w:val="008E6F0D"/>
    <w:rsid w:val="008F48D8"/>
    <w:rsid w:val="008F7457"/>
    <w:rsid w:val="0091280E"/>
    <w:rsid w:val="00924442"/>
    <w:rsid w:val="00945092"/>
    <w:rsid w:val="00980442"/>
    <w:rsid w:val="009A4E28"/>
    <w:rsid w:val="009B146C"/>
    <w:rsid w:val="009B21EE"/>
    <w:rsid w:val="009D2F01"/>
    <w:rsid w:val="009F4C32"/>
    <w:rsid w:val="00A02874"/>
    <w:rsid w:val="00A06C0F"/>
    <w:rsid w:val="00A22914"/>
    <w:rsid w:val="00A2440C"/>
    <w:rsid w:val="00A35FDA"/>
    <w:rsid w:val="00A45FF0"/>
    <w:rsid w:val="00A513EB"/>
    <w:rsid w:val="00A515B8"/>
    <w:rsid w:val="00A57719"/>
    <w:rsid w:val="00A83AF7"/>
    <w:rsid w:val="00AA2F8E"/>
    <w:rsid w:val="00AC4D52"/>
    <w:rsid w:val="00AD2A88"/>
    <w:rsid w:val="00AE0F08"/>
    <w:rsid w:val="00AF2C09"/>
    <w:rsid w:val="00B272AB"/>
    <w:rsid w:val="00B30234"/>
    <w:rsid w:val="00B30E85"/>
    <w:rsid w:val="00B47DD2"/>
    <w:rsid w:val="00B67AC8"/>
    <w:rsid w:val="00B8052D"/>
    <w:rsid w:val="00B96F67"/>
    <w:rsid w:val="00BB0A18"/>
    <w:rsid w:val="00BC306F"/>
    <w:rsid w:val="00BD0C30"/>
    <w:rsid w:val="00BE1F43"/>
    <w:rsid w:val="00BE5E24"/>
    <w:rsid w:val="00BF520E"/>
    <w:rsid w:val="00C134D7"/>
    <w:rsid w:val="00C147AB"/>
    <w:rsid w:val="00C203B3"/>
    <w:rsid w:val="00C528D5"/>
    <w:rsid w:val="00C64ED8"/>
    <w:rsid w:val="00C67276"/>
    <w:rsid w:val="00C70135"/>
    <w:rsid w:val="00C746C9"/>
    <w:rsid w:val="00C954FF"/>
    <w:rsid w:val="00CB106C"/>
    <w:rsid w:val="00CC2B0A"/>
    <w:rsid w:val="00CD73B6"/>
    <w:rsid w:val="00CE5A6C"/>
    <w:rsid w:val="00CF2213"/>
    <w:rsid w:val="00D13842"/>
    <w:rsid w:val="00D155F1"/>
    <w:rsid w:val="00D81A7F"/>
    <w:rsid w:val="00D82D1E"/>
    <w:rsid w:val="00D9145A"/>
    <w:rsid w:val="00DD153A"/>
    <w:rsid w:val="00DD20F2"/>
    <w:rsid w:val="00DD7BB4"/>
    <w:rsid w:val="00E05328"/>
    <w:rsid w:val="00E42774"/>
    <w:rsid w:val="00E8634E"/>
    <w:rsid w:val="00E96603"/>
    <w:rsid w:val="00EB3B57"/>
    <w:rsid w:val="00ED47A1"/>
    <w:rsid w:val="00EE19A6"/>
    <w:rsid w:val="00F1420A"/>
    <w:rsid w:val="00F301F7"/>
    <w:rsid w:val="00F40248"/>
    <w:rsid w:val="00F46E7E"/>
    <w:rsid w:val="00F56EE5"/>
    <w:rsid w:val="00F82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2">
    <w:name w:val="Unresolved Mention2"/>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2">
    <w:name w:val="Unresolved Mention2"/>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tmp"/><Relationship Id="rId18" Type="http://schemas.openxmlformats.org/officeDocument/2006/relationships/hyperlink" Target="https://doi.org/10.1016/j.measurement.2016.08.015"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bipm.org/utils/common/documents/jcgm/JCGM%20100%202008%20E.pdf" TargetMode="External"/><Relationship Id="rId7" Type="http://schemas.openxmlformats.org/officeDocument/2006/relationships/diagramData" Target="diagrams/data1.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hyperlink" Target="https://commons.wikimedia.org/wiki/File:Louvres-antiquites-egyptiennes-img_2748.jpg" TargetMode="External"/><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hyperlink" Target="http://www.bipm.org/utils/common/pdf/si-brochure-draft-2016b.pdf" TargetMode="Externa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diagramDrawing" Target="diagrams/drawing1.xml"/><Relationship Id="rId24" Type="http://schemas.openxmlformats.org/officeDocument/2006/relationships/hyperlink" Target="http://www.bipm.org/utils/common/documents/jcgm/JCGM%20102%202011%20E.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hyperlink" Target="http://www.bipm.org/utils/common/documents/jcgm/JCGM%20101%202008%20E.pdf" TargetMode="External"/><Relationship Id="rId10" Type="http://schemas.openxmlformats.org/officeDocument/2006/relationships/diagramColors" Target="diagrams/colors1.xml"/><Relationship Id="rId19" Type="http://schemas.openxmlformats.org/officeDocument/2006/relationships/hyperlink" Target="http://www.ukas.com/about/our-role/"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tmp"/><Relationship Id="rId22" Type="http://schemas.openxmlformats.org/officeDocument/2006/relationships/hyperlink" Target="http://www.bipm.org/utils/common/documents/jcgm/JCGM%20200%202012.pdf"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t>
        <a:bodyPr/>
        <a:lstStyle/>
        <a:p>
          <a:endParaRPr lang="en-GB"/>
        </a:p>
      </dgm:t>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t>
        <a:bodyPr/>
        <a:lstStyle/>
        <a:p>
          <a:endParaRPr lang="en-GB"/>
        </a:p>
      </dgm:t>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t>
        <a:bodyPr/>
        <a:lstStyle/>
        <a:p>
          <a:endParaRPr lang="en-GB"/>
        </a:p>
      </dgm:t>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t>
        <a:bodyPr/>
        <a:lstStyle/>
        <a:p>
          <a:endParaRPr lang="en-GB"/>
        </a:p>
      </dgm:t>
    </dgm:pt>
    <dgm:pt modelId="{680DB803-FC50-4665-A3D7-526C7CA187B1}" type="pres">
      <dgm:prSet presAssocID="{233E1B51-26E2-46C1-AAA3-4E327AD8E98B}" presName="aSpace" presStyleCnt="0"/>
      <dgm:spPr/>
    </dgm:pt>
  </dgm:ptLst>
  <dgm:cxnLst>
    <dgm:cxn modelId="{5D8A6965-1482-4256-808E-9E804ED696D4}" type="presOf" srcId="{233E1B51-26E2-46C1-AAA3-4E327AD8E98B}" destId="{9BD42959-6B16-4ABF-94A6-F95D05116994}" srcOrd="0" destOrd="0" presId="urn:microsoft.com/office/officeart/2005/8/layout/pyramid2"/>
    <dgm:cxn modelId="{41C4B263-EF76-4737-9C7B-81787E8E4873}" type="presOf" srcId="{513C2497-E406-4327-B68E-4A5ACF3B7402}" destId="{0E2E0EBD-658A-4AAA-96DD-B87C20932C8D}" srcOrd="0" destOrd="0" presId="urn:microsoft.com/office/officeart/2005/8/layout/pyramid2"/>
    <dgm:cxn modelId="{6B3D83EE-EA29-42DA-ACCA-9C88F53BAC9D}" type="presOf" srcId="{1D7F6354-3490-4F5E-923D-5185EDA5D493}" destId="{0005DC29-1D83-4014-977C-79056CD7D94A}" srcOrd="0" destOrd="0" presId="urn:microsoft.com/office/officeart/2005/8/layout/pyramid2"/>
    <dgm:cxn modelId="{D6EB6403-89E3-48BF-BFA6-D5906DFAB011}" type="presOf" srcId="{8C371762-0DFF-4B16-B076-BB8B7D5881F3}" destId="{7B6BC462-129A-4CA3-9E0A-54DEFB2EB83C}"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B5F3D477-1093-47A2-8D12-65A888A81397}" type="presOf" srcId="{6E9E3301-03BD-4A23-B5AD-74DE7A2C00E3}" destId="{EC63558D-A6E2-4012-8FAC-110C71994BA9}"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6563650A-8DFF-482B-A977-7B3DDC41CCBF}" srcId="{6E9E3301-03BD-4A23-B5AD-74DE7A2C00E3}" destId="{233E1B51-26E2-46C1-AAA3-4E327AD8E98B}" srcOrd="3" destOrd="0" parTransId="{87667D74-A60D-41DB-9BFE-A09F61236342}" sibTransId="{317654A1-945C-48BA-981F-486AB527F3C3}"/>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8147</TotalTime>
  <Pages>21</Pages>
  <Words>6483</Words>
  <Characters>36955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Stant, Laurence (DLSLtd,RAL,TEC)</cp:lastModifiedBy>
  <cp:revision>50</cp:revision>
  <dcterms:created xsi:type="dcterms:W3CDTF">2018-03-28T17:51:00Z</dcterms:created>
  <dcterms:modified xsi:type="dcterms:W3CDTF">2018-04-04T18:00:00Z</dcterms:modified>
</cp:coreProperties>
</file>