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1F3864"/>
          <w:sz w:val="40"/>
          <w:szCs w:val="40"/>
        </w:rPr>
        <w:t xml:space="preserve">Password &amp; Authentication Policy</w:t>
      </w:r>
    </w:p>
    <w:p>
      <w:pPr>
        <w:pBdr>
          <w:bottom w:val="single" w:color="DCE6F1" w:sz="6" w:space="8"/>
        </w:pBdr>
        <w:spacing w:after="280"/>
      </w:pPr>
      <w:r>
        <w:rPr>
          <w:i w:val="false"/>
          <w:iCs w:val="false"/>
          <w:color w:val="595959"/>
          <w:sz w:val="18"/>
          <w:szCs w:val="18"/>
        </w:rPr>
        <w:t xml:space="preserve">Northwind Traders, Inc.  |  Information Technology  |  Effective: March 1, 2026  |  Version 4.0  |  Policy Owner: Chief Information Security Officer</w:t>
      </w:r>
    </w:p>
    <w:p>
      <w:pPr>
        <w:pStyle w:val="Heading1"/>
        <w:spacing w:after="120" w:before="260"/>
      </w:pPr>
      <w:r>
        <w:rPr>
          <w:rFonts w:ascii="Calibri" w:cs="Calibri" w:eastAsia="Calibri" w:hAnsi="Calibri"/>
          <w:b/>
          <w:bCs/>
          <w:color w:val="1F3864"/>
          <w:sz w:val="27"/>
          <w:szCs w:val="27"/>
        </w:rPr>
        <w:t xml:space="preserve">1. Purpose</w:t>
      </w:r>
    </w:p>
    <w:p>
      <w:pPr>
        <w:spacing w:after="140" w:line="300"/>
      </w:pPr>
      <w:r>
        <w:rPr>
          <w:rFonts w:ascii="Calibri" w:cs="Calibri" w:eastAsia="Calibri" w:hAnsi="Calibri"/>
          <w:sz w:val="21"/>
          <w:szCs w:val="21"/>
        </w:rPr>
        <w:t xml:space="preserve">This policy establishes minimum requirements for passwords and authentication used to access Northwind Traders systems, applications, and data, in order to reduce the risk of unauthorized account access.</w:t>
      </w:r>
    </w:p>
    <w:p>
      <w:pPr>
        <w:pStyle w:val="Heading1"/>
        <w:spacing w:after="120" w:before="260"/>
      </w:pPr>
      <w:r>
        <w:rPr>
          <w:rFonts w:ascii="Calibri" w:cs="Calibri" w:eastAsia="Calibri" w:hAnsi="Calibri"/>
          <w:b/>
          <w:bCs/>
          <w:color w:val="1F3864"/>
          <w:sz w:val="27"/>
          <w:szCs w:val="27"/>
        </w:rPr>
        <w:t xml:space="preserve">2. Password Requirements</w:t>
      </w:r>
    </w:p>
    <w:p>
      <w:pPr>
        <w:spacing w:after="140" w:line="300"/>
      </w:pPr>
      <w:r>
        <w:rPr>
          <w:rFonts w:ascii="Calibri" w:cs="Calibri" w:eastAsia="Calibri" w:hAnsi="Calibri"/>
          <w:sz w:val="21"/>
          <w:szCs w:val="21"/>
        </w:rPr>
        <w:t xml:space="preserve">All Company account passwords must meet the following minimum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Requirement</w:t>
            </w:r>
          </w:p>
        </w:tc>
        <w:tc>
          <w:tcPr>
            <w:tcW w:type="dxa" w:w="60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Standard</w:t>
            </w:r>
          </w:p>
        </w:tc>
      </w:tr>
      <w:tr>
        <w:tc>
          <w:tcPr>
            <w:tcW w:type="dxa" w:w="36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Minimum length</w:t>
            </w:r>
          </w:p>
        </w:tc>
        <w:tc>
          <w:tcPr>
            <w:tcW w:type="dxa" w:w="60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12 characters</w:t>
            </w:r>
          </w:p>
        </w:tc>
      </w:tr>
      <w:tr>
        <w:tc>
          <w:tcPr>
            <w:tcW w:type="dxa" w:w="3600"/>
            <w:shd w:fill="DCE6F1"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Complexity</w:t>
            </w:r>
          </w:p>
        </w:tc>
        <w:tc>
          <w:tcPr>
            <w:tcW w:type="dxa" w:w="6000"/>
            <w:shd w:fill="DCE6F1"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At least 3 of: uppercase, lowercase, number, symbol</w:t>
            </w:r>
          </w:p>
        </w:tc>
      </w:tr>
      <w:tr>
        <w:tc>
          <w:tcPr>
            <w:tcW w:type="dxa" w:w="36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Reuse</w:t>
            </w:r>
          </w:p>
        </w:tc>
        <w:tc>
          <w:tcPr>
            <w:tcW w:type="dxa" w:w="60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Cannot reuse the last 10 passwords</w:t>
            </w:r>
          </w:p>
        </w:tc>
      </w:tr>
      <w:tr>
        <w:tc>
          <w:tcPr>
            <w:tcW w:type="dxa" w:w="3600"/>
            <w:shd w:fill="DCE6F1"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Common passwords</w:t>
            </w:r>
          </w:p>
        </w:tc>
        <w:tc>
          <w:tcPr>
            <w:tcW w:type="dxa" w:w="6000"/>
            <w:shd w:fill="DCE6F1"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Checked against a breached-password blocklist at creation</w:t>
            </w:r>
          </w:p>
        </w:tc>
      </w:tr>
      <w:tr>
        <w:tc>
          <w:tcPr>
            <w:tcW w:type="dxa" w:w="36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Shared accounts</w:t>
            </w:r>
          </w:p>
        </w:tc>
        <w:tc>
          <w:tcPr>
            <w:tcW w:type="dxa" w:w="60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Not permitted except service accounts approved by IT Security</w:t>
            </w:r>
          </w:p>
        </w:tc>
      </w:tr>
    </w:tbl>
    <w:p>
      <w:pPr>
        <w:spacing w:after="120"/>
      </w:pPr>
    </w:p>
    <w:p>
      <w:pPr>
        <w:pStyle w:val="Heading1"/>
        <w:spacing w:after="120" w:before="260"/>
      </w:pPr>
      <w:r>
        <w:rPr>
          <w:rFonts w:ascii="Calibri" w:cs="Calibri" w:eastAsia="Calibri" w:hAnsi="Calibri"/>
          <w:b/>
          <w:bCs/>
          <w:color w:val="1F3864"/>
          <w:sz w:val="27"/>
          <w:szCs w:val="27"/>
        </w:rPr>
        <w:t xml:space="preserve">3. Password Rotation</w:t>
      </w:r>
    </w:p>
    <w:p>
      <w:pPr>
        <w:spacing w:after="140" w:line="300"/>
      </w:pPr>
      <w:r>
        <w:rPr>
          <w:rFonts w:ascii="Calibri" w:cs="Calibri" w:eastAsia="Calibri" w:hAnsi="Calibri"/>
          <w:sz w:val="21"/>
          <w:szCs w:val="21"/>
        </w:rPr>
        <w:t xml:space="preserve">Consistent with current NIST guidance, standard user accounts protected by multi-factor authentication (MFA) are </w:t>
      </w:r>
      <w:r>
        <w:rPr>
          <w:rFonts w:ascii="Calibri" w:cs="Calibri" w:eastAsia="Calibri" w:hAnsi="Calibri"/>
          <w:b/>
          <w:bCs/>
          <w:sz w:val="21"/>
          <w:szCs w:val="21"/>
        </w:rPr>
        <w:t xml:space="preserve">not</w:t>
      </w:r>
      <w:r>
        <w:rPr>
          <w:rFonts w:ascii="Calibri" w:cs="Calibri" w:eastAsia="Calibri" w:hAnsi="Calibri"/>
          <w:sz w:val="21"/>
          <w:szCs w:val="21"/>
        </w:rPr>
        <w:t xml:space="preserve"> required to rotate passwords on a fixed schedule, and instead rotate only when there is evidence of compromise. Privileged / administrative accounts must rotate credentials every 90 days regardless of MFA status.</w:t>
      </w:r>
    </w:p>
    <w:p>
      <w:pPr>
        <w:pStyle w:val="Heading1"/>
        <w:spacing w:after="120" w:before="260"/>
      </w:pPr>
      <w:r>
        <w:rPr>
          <w:rFonts w:ascii="Calibri" w:cs="Calibri" w:eastAsia="Calibri" w:hAnsi="Calibri"/>
          <w:b/>
          <w:bCs/>
          <w:color w:val="1F3864"/>
          <w:sz w:val="27"/>
          <w:szCs w:val="27"/>
        </w:rPr>
        <w:t xml:space="preserve">4. Multi-Factor Authentication (MFA)</w:t>
      </w:r>
    </w:p>
    <w:p>
      <w:pPr>
        <w:spacing w:after="140" w:line="300"/>
      </w:pPr>
      <w:r>
        <w:rPr>
          <w:rFonts w:ascii="Calibri" w:cs="Calibri" w:eastAsia="Calibri" w:hAnsi="Calibri"/>
          <w:sz w:val="21"/>
          <w:szCs w:val="21"/>
        </w:rPr>
        <w:t xml:space="preserve">MFA is required for all Company accounts without exception, using Okta Verify as the primary method. Approved factors are, in order of preference:</w:t>
      </w:r>
    </w:p>
    <w:p>
      <w:pPr>
        <w:pStyle w:val="ListParagraph"/>
        <w:numPr>
          <w:ilvl w:val="0"/>
          <w:numId w:val="2"/>
        </w:numPr>
        <w:spacing w:after="60" w:line="280"/>
      </w:pPr>
      <w:r>
        <w:rPr>
          <w:rFonts w:ascii="Calibri" w:cs="Calibri" w:eastAsia="Calibri" w:hAnsi="Calibri"/>
          <w:sz w:val="21"/>
          <w:szCs w:val="21"/>
        </w:rPr>
        <w:t xml:space="preserve">Push notification via Okta Verify (preferred)</w:t>
      </w:r>
    </w:p>
    <w:p>
      <w:pPr>
        <w:pStyle w:val="ListParagraph"/>
        <w:numPr>
          <w:ilvl w:val="0"/>
          <w:numId w:val="2"/>
        </w:numPr>
        <w:spacing w:after="60" w:line="280"/>
      </w:pPr>
      <w:r>
        <w:rPr>
          <w:rFonts w:ascii="Calibri" w:cs="Calibri" w:eastAsia="Calibri" w:hAnsi="Calibri"/>
          <w:sz w:val="21"/>
          <w:szCs w:val="21"/>
        </w:rPr>
        <w:t xml:space="preserve">Hardware security key (FIDO2 / YubiKey) — required for all IT Administrator accounts</w:t>
      </w:r>
    </w:p>
    <w:p>
      <w:pPr>
        <w:pStyle w:val="ListParagraph"/>
        <w:numPr>
          <w:ilvl w:val="0"/>
          <w:numId w:val="2"/>
        </w:numPr>
        <w:spacing w:after="60" w:line="280"/>
      </w:pPr>
      <w:r>
        <w:rPr>
          <w:rFonts w:ascii="Calibri" w:cs="Calibri" w:eastAsia="Calibri" w:hAnsi="Calibri"/>
          <w:sz w:val="21"/>
          <w:szCs w:val="21"/>
        </w:rPr>
        <w:t xml:space="preserve">Time-based one-time passcode (TOTP) authenticator app</w:t>
      </w:r>
    </w:p>
    <w:p>
      <w:pPr>
        <w:pStyle w:val="ListParagraph"/>
        <w:numPr>
          <w:ilvl w:val="0"/>
          <w:numId w:val="2"/>
        </w:numPr>
        <w:spacing w:after="60" w:line="280"/>
      </w:pPr>
      <w:r>
        <w:rPr>
          <w:rFonts w:ascii="Calibri" w:cs="Calibri" w:eastAsia="Calibri" w:hAnsi="Calibri"/>
          <w:sz w:val="21"/>
          <w:szCs w:val="21"/>
        </w:rPr>
        <w:t xml:space="preserve">SMS text message (permitted only as a fallback method, not primary)</w:t>
      </w:r>
    </w:p>
    <w:p>
      <w:pPr>
        <w:pStyle w:val="Heading1"/>
        <w:spacing w:after="120" w:before="260"/>
      </w:pPr>
      <w:r>
        <w:rPr>
          <w:rFonts w:ascii="Calibri" w:cs="Calibri" w:eastAsia="Calibri" w:hAnsi="Calibri"/>
          <w:b/>
          <w:bCs/>
          <w:color w:val="1F3864"/>
          <w:sz w:val="27"/>
          <w:szCs w:val="27"/>
        </w:rPr>
        <w:t xml:space="preserve">5. Account Lockout Policy</w:t>
      </w:r>
    </w:p>
    <w:p>
      <w:pPr>
        <w:spacing w:after="140" w:line="300"/>
      </w:pPr>
      <w:r>
        <w:rPr>
          <w:rFonts w:ascii="Calibri" w:cs="Calibri" w:eastAsia="Calibri" w:hAnsi="Calibri"/>
          <w:sz w:val="21"/>
          <w:szCs w:val="21"/>
        </w:rPr>
        <w:t xml:space="preserve">Accounts are automatically locked after </w:t>
      </w:r>
      <w:r>
        <w:rPr>
          <w:rFonts w:ascii="Calibri" w:cs="Calibri" w:eastAsia="Calibri" w:hAnsi="Calibri"/>
          <w:b/>
          <w:bCs/>
          <w:sz w:val="21"/>
          <w:szCs w:val="21"/>
        </w:rPr>
        <w:t xml:space="preserve">5 consecutive failed login attempts</w:t>
      </w:r>
      <w:r>
        <w:rPr>
          <w:rFonts w:ascii="Calibri" w:cs="Calibri" w:eastAsia="Calibri" w:hAnsi="Calibri"/>
          <w:sz w:val="21"/>
          <w:szCs w:val="21"/>
        </w:rPr>
        <w:t xml:space="preserve"> within a 15-minute window. Locked accounts remain locked for 30 minutes or until unlocked by the IT Service Desk after identity verification.</w:t>
      </w:r>
    </w:p>
    <w:p>
      <w:pPr>
        <w:pStyle w:val="Heading1"/>
        <w:spacing w:after="120" w:before="260"/>
      </w:pPr>
      <w:r>
        <w:rPr>
          <w:rFonts w:ascii="Calibri" w:cs="Calibri" w:eastAsia="Calibri" w:hAnsi="Calibri"/>
          <w:b/>
          <w:bCs/>
          <w:color w:val="1F3864"/>
          <w:sz w:val="27"/>
          <w:szCs w:val="27"/>
        </w:rPr>
        <w:t xml:space="preserve">6. Approved Password Manager</w:t>
      </w:r>
    </w:p>
    <w:p>
      <w:pPr>
        <w:spacing w:after="140" w:line="300"/>
      </w:pPr>
      <w:r>
        <w:rPr>
          <w:rFonts w:ascii="Calibri" w:cs="Calibri" w:eastAsia="Calibri" w:hAnsi="Calibri"/>
          <w:sz w:val="21"/>
          <w:szCs w:val="21"/>
        </w:rPr>
        <w:t xml:space="preserve">1Password Business is the Company's approved password manager and is provisioned automatically to all employees. Employees are strongly encouraged to use it to generate and store unique passwords for every account, and must use it for any shared team credentials.</w:t>
      </w:r>
    </w:p>
    <w:p>
      <w:pPr>
        <w:pStyle w:val="Heading1"/>
        <w:spacing w:after="120" w:before="260"/>
      </w:pPr>
      <w:r>
        <w:rPr>
          <w:rFonts w:ascii="Calibri" w:cs="Calibri" w:eastAsia="Calibri" w:hAnsi="Calibri"/>
          <w:b/>
          <w:bCs/>
          <w:color w:val="1F3864"/>
          <w:sz w:val="27"/>
          <w:szCs w:val="27"/>
        </w:rPr>
        <w:t xml:space="preserve">7. Prohibited Practices</w:t>
      </w:r>
    </w:p>
    <w:p>
      <w:pPr>
        <w:pStyle w:val="ListParagraph"/>
        <w:numPr>
          <w:ilvl w:val="0"/>
          <w:numId w:val="2"/>
        </w:numPr>
        <w:spacing w:after="60" w:line="280"/>
      </w:pPr>
      <w:r>
        <w:rPr>
          <w:rFonts w:ascii="Calibri" w:cs="Calibri" w:eastAsia="Calibri" w:hAnsi="Calibri"/>
          <w:sz w:val="21"/>
          <w:szCs w:val="21"/>
        </w:rPr>
        <w:t xml:space="preserve">Writing passwords down or storing them in unencrypted files or documents.</w:t>
      </w:r>
    </w:p>
    <w:p>
      <w:pPr>
        <w:pStyle w:val="ListParagraph"/>
        <w:numPr>
          <w:ilvl w:val="0"/>
          <w:numId w:val="2"/>
        </w:numPr>
        <w:spacing w:after="60" w:line="280"/>
      </w:pPr>
      <w:r>
        <w:rPr>
          <w:rFonts w:ascii="Calibri" w:cs="Calibri" w:eastAsia="Calibri" w:hAnsi="Calibri"/>
          <w:sz w:val="21"/>
          <w:szCs w:val="21"/>
        </w:rPr>
        <w:t xml:space="preserve">Sharing passwords with another employee, contractor, or third party under any circumstance.</w:t>
      </w:r>
    </w:p>
    <w:p>
      <w:pPr>
        <w:pStyle w:val="ListParagraph"/>
        <w:numPr>
          <w:ilvl w:val="0"/>
          <w:numId w:val="2"/>
        </w:numPr>
        <w:spacing w:after="60" w:line="280"/>
      </w:pPr>
      <w:r>
        <w:rPr>
          <w:rFonts w:ascii="Calibri" w:cs="Calibri" w:eastAsia="Calibri" w:hAnsi="Calibri"/>
          <w:sz w:val="21"/>
          <w:szCs w:val="21"/>
        </w:rPr>
        <w:t xml:space="preserve">Using the same password across multiple Company systems or across work and personal accounts.</w:t>
      </w:r>
    </w:p>
    <w:p>
      <w:pPr>
        <w:pStyle w:val="ListParagraph"/>
        <w:numPr>
          <w:ilvl w:val="0"/>
          <w:numId w:val="2"/>
        </w:numPr>
        <w:spacing w:after="60" w:line="280"/>
      </w:pPr>
      <w:r>
        <w:rPr>
          <w:rFonts w:ascii="Calibri" w:cs="Calibri" w:eastAsia="Calibri" w:hAnsi="Calibri"/>
          <w:sz w:val="21"/>
          <w:szCs w:val="21"/>
        </w:rPr>
        <w:t xml:space="preserve">Disabling or bypassing MFA prompts, including “MFA fatigue” approval of unrecognized push notifications.</w:t>
      </w:r>
    </w:p>
    <w:p>
      <w:pPr>
        <w:pStyle w:val="Heading1"/>
        <w:spacing w:after="120" w:before="260"/>
      </w:pPr>
      <w:r>
        <w:rPr>
          <w:rFonts w:ascii="Calibri" w:cs="Calibri" w:eastAsia="Calibri" w:hAnsi="Calibri"/>
          <w:b/>
          <w:bCs/>
          <w:color w:val="1F3864"/>
          <w:sz w:val="27"/>
          <w:szCs w:val="27"/>
        </w:rPr>
        <w:t xml:space="preserve">8. Reporting a Compromised Password</w:t>
      </w:r>
    </w:p>
    <w:p>
      <w:pPr>
        <w:spacing w:after="140" w:line="300"/>
      </w:pPr>
      <w:r>
        <w:rPr>
          <w:rFonts w:ascii="Calibri" w:cs="Calibri" w:eastAsia="Calibri" w:hAnsi="Calibri"/>
          <w:sz w:val="21"/>
          <w:szCs w:val="21"/>
        </w:rPr>
        <w:t xml:space="preserve">If you suspect your password or account has been compromised, or you approved an MFA push notification you did not initiate, immediately change your password, then contact the IT Service Desk at </w:t>
      </w:r>
      <w:r>
        <w:rPr>
          <w:rFonts w:ascii="Calibri" w:cs="Calibri" w:eastAsia="Calibri" w:hAnsi="Calibri"/>
          <w:b/>
          <w:bCs/>
          <w:sz w:val="21"/>
          <w:szCs w:val="21"/>
        </w:rPr>
        <w:t xml:space="preserve">itsupport@northwindtraders.example</w:t>
      </w:r>
      <w:r>
        <w:rPr>
          <w:rFonts w:ascii="Calibri" w:cs="Calibri" w:eastAsia="Calibri" w:hAnsi="Calibri"/>
          <w:sz w:val="21"/>
          <w:szCs w:val="21"/>
        </w:rPr>
        <w:t xml:space="preserve"> or extension 4357 (HELP). Do not wait for confirmation of a breach before reporting.</w:t>
      </w:r>
    </w:p>
    <w:p>
      <w:pPr>
        <w:pStyle w:val="Heading1"/>
        <w:spacing w:after="120" w:before="260"/>
      </w:pPr>
      <w:r>
        <w:rPr>
          <w:rFonts w:ascii="Calibri" w:cs="Calibri" w:eastAsia="Calibri" w:hAnsi="Calibri"/>
          <w:b/>
          <w:bCs/>
          <w:color w:val="1F3864"/>
          <w:sz w:val="27"/>
          <w:szCs w:val="27"/>
        </w:rPr>
        <w:t xml:space="preserve">9. Exceptions</w:t>
      </w:r>
    </w:p>
    <w:p>
      <w:pPr>
        <w:spacing w:after="140" w:line="300"/>
      </w:pPr>
      <w:r>
        <w:rPr>
          <w:rFonts w:ascii="Calibri" w:cs="Calibri" w:eastAsia="Calibri" w:hAnsi="Calibri"/>
          <w:sz w:val="21"/>
          <w:szCs w:val="21"/>
        </w:rPr>
        <w:t xml:space="preserve">Any exception to this policy requires written approval from the Chief Information Security Officer (CISO) and must be documented and reviewed at least annually.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Northwind Traders, Inc.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2026-08-08T04:32:22.309Z</dcterms:created>
  <dcterms:modified xsi:type="dcterms:W3CDTF">2026-08-08T04:32:22.316Z</dcterms:modified>
</cp:coreProperties>
</file>

<file path=docProps/custom.xml><?xml version="1.0" encoding="utf-8"?>
<Properties xmlns="http://schemas.openxmlformats.org/officeDocument/2006/custom-properties" xmlns:vt="http://schemas.openxmlformats.org/officeDocument/2006/docPropsVTypes"/>
</file>