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Business Travel Policy</w:t>
      </w:r>
    </w:p>
    <w:p>
      <w:pPr>
        <w:pBdr>
          <w:bottom w:val="single" w:color="DCE6F1" w:sz="6" w:space="8"/>
        </w:pBdr>
        <w:spacing w:after="280"/>
      </w:pPr>
      <w:r>
        <w:rPr>
          <w:i w:val="false"/>
          <w:iCs w:val="false"/>
          <w:color w:val="595959"/>
          <w:sz w:val="18"/>
          <w:szCs w:val="18"/>
        </w:rPr>
        <w:t xml:space="preserve">Northwind Traders, Inc.  |  Finance Department  |  Effective: January 1, 2026  |  Version 3.2  |  Policy Owner: Director, Corporate Travel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Purpose &amp; Scope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This policy applies to all Northwind Traders, Inc. employees traveling on Company business, whether domestic or international. It covers booking, allowable expenses, and reimbursement for business travel.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Booking Travel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All business travel must be booked through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Concur Travel</w:t>
      </w:r>
      <w:r>
        <w:rPr>
          <w:rFonts w:ascii="Calibri" w:cs="Calibri" w:eastAsia="Calibri" w:hAnsi="Calibri"/>
          <w:sz w:val="21"/>
          <w:szCs w:val="21"/>
        </w:rPr>
        <w:t xml:space="preserve">, the Company's approved booking tool, so that duty-of-care and expense-tracking requirements are met. Book domestic travel at least 14 days in advance and international travel at least 21 days in advance whenever possible, to control airfare costs.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Air Travel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Class of service is determined by flight duration and traveler level, per the table below.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Flight Duration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Individual Contributor / Manager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Director &amp; Above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Under 6 hours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Economy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Economy / Economy Plus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hours or more (domestic)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Economy Plus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Premium Economy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International, 6+ hours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Premium Economy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Hotel Accommodations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Nightly rate caps (excluding taxes and fees) are set by city cost tier: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2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City Tier</w:t>
            </w:r>
          </w:p>
        </w:tc>
        <w:tc>
          <w:tcPr>
            <w:tcW w:type="dxa" w:w="5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Cities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Nightly Cap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Tier 1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York, San Francisco, Boston, London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$350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Tier 2</w:t>
            </w:r>
          </w:p>
        </w:tc>
        <w:tc>
          <w:tcPr>
            <w:tcW w:type="dxa" w:w="5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Chicago, Denver, Austin, Toronto</w:t>
            </w:r>
          </w:p>
        </w:tc>
        <w:tc>
          <w:tcPr>
            <w:tcW w:type="dxa" w:w="2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$250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Tier 3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other cities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$180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Bookings above the cap require pre-approval from a Director or above, and should be booked at the Company's negotiated hotel partners where available.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Ground Transportation &amp; Rental Cars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Rideshare and taxi are preferred for trips under 1 hour from the airport or hotel.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Rental cars require Director approval and must be booked in the mid-size class or below, unless traveling with equipment or a group of 3+.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Personal vehicle use is reimbursed at the current IRS standard mileage rate.</w:t>
      </w:r>
    </w:p>
    <w:p>
      <w:pPr>
        <w:spacing w:after="6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Meals &amp; Incidentals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Employees may choose actual-cost reimbursement (with itemized receipts) or the standard per-diem rate below, but may not mix both methods within a single trip.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Meal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Domestic Per Diem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International Per Diem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Breakfast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$18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$25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Lunch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$22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Dinner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$45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$60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Incidentals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</w:t>
            </w:r>
          </w:p>
        </w:tc>
        <w:tc>
          <w:tcPr>
            <w:tcW w:type="dxa" w:w="3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$15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7. International Travel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Employees traveling internationally must confirm passport validity (6+ months beyond return date) and any visa requirements at least 3 weeks before departure. Check current travel advisories with the Security team before booking travel to a Level 3 or 4 State Department advisory country; such trips require VP approval.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8. Reimbursement Process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Submit all trip expenses through ExpensePath within 30 calendar days of trip completion, with itemized receipts for any expense of $25 or more. See the Expense Policy for the full approval matrix.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9. Non-Reimbursable Items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Airline seat upgrades beyond the class permitted above.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Travel insurance for personal trips extended before or after business travel.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In-flight entertainment, mini-bar charges, and personal streaming subscriptions.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Traffic and parking fines.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10. Contact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Questions: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travel@northwindtraders.example</w:t>
      </w:r>
      <w:r>
        <w:rPr>
          <w:rFonts w:ascii="Calibri" w:cs="Calibri" w:eastAsia="Calibri" w:hAnsi="Calibri"/>
          <w:sz w:val="21"/>
          <w:szCs w:val="21"/>
        </w:rPr>
        <w:t xml:space="preserve"> or the #ask-finance Slack channel.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Northwind Traders, Inc.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2026-08-08T04:32:20.903Z</dcterms:created>
  <dcterms:modified xsi:type="dcterms:W3CDTF">2026-08-08T04:32:20.929Z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