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360" w:after="120"/>
        <w:rPr/>
      </w:pPr>
      <w:r>
        <w:rPr/>
        <w:t>Cahier des charges – Application de Système de Management de la Qualité (ISO 9001:2026)</w:t>
      </w:r>
    </w:p>
    <w:p>
      <w:pPr>
        <w:pStyle w:val="Normal"/>
        <w:rPr/>
      </w:pPr>
      <w:r>
        <w:rPr/>
        <w:t>Oct 15, 2026 · @Anicet Babatoundé ANIAMBOSSOU</w:t>
      </w:r>
    </w:p>
    <w:p>
      <w:pPr>
        <w:pStyle w:val="Heading2"/>
        <w:rPr/>
      </w:pPr>
      <w:r>
        <w:rPr/>
        <w:t>1. Contexte, objectifs et périmètre</w:t>
      </w:r>
    </w:p>
    <w:p>
      <w:pPr>
        <w:pStyle w:val="Normal"/>
        <w:rPr/>
      </w:pPr>
      <w:r>
        <w:rPr/>
        <w:t>L'application permet à un organisme de construire, faire vivre et prouver son système de management de la qualité (SMQ) conforme à l'ISO 9001:2026, sans papier ni tableur, avec un dossier d'audit généré automatiquement. Elle suit le cycle PDCA et l'approche processus de la norme (articles 4 à 10) ; chaque exigence est traçable jusqu'à un écran et une donnée.</w:t>
      </w:r>
    </w:p>
    <w:p>
      <w:pPr>
        <w:pStyle w:val="Normal"/>
        <w:rPr/>
      </w:pPr>
      <w:r>
        <w:rPr>
          <w:b/>
        </w:rPr>
        <w:t>Référence normative.</w:t>
      </w:r>
      <w:r>
        <w:rPr/>
        <w:t xml:space="preserve"> ISO 9001:2026, sixième édition (septembre 2026), qui annule et remplace la version 2015 et intègre l'Amendement 1:2024. Les principales évolutions : termes de l'article 3 réduits (l'ISO 9000 reste la référence du vocabulaire), culture de la qualité et comportement éthique traités dans les exigences, risques et opportunités nettement distingués, gestion des changements renforcée, annexe A explicative refondue, annexe B supprimée.</w:t>
      </w:r>
    </w:p>
    <w:p>
      <w:pPr>
        <w:pStyle w:val="Normal"/>
        <w:rPr/>
      </w:pPr>
      <w:r>
        <w:rPr>
          <w:b/>
        </w:rPr>
        <w:t>Lien avec le cahier des charges ISO 14001:2026.</w:t>
      </w:r>
      <w:r>
        <w:rPr/>
        <w:t xml:space="preserve"> Les deux produits partagent un socle commun (organismes, sites, utilisateurs, droits, tâches, notifications, documents, audits, revue de direction, non-conformités, tableaux de bord). Ce document ne le redécrit pas en détail : il décrit les modules propres à la qualité (relation client, conception, production et prestation, prestataires externes, satisfaction du client) et ce qui change dans les modules communs. Le développement du socle doit donc être fait une seule fois.</w:t>
      </w:r>
    </w:p>
    <w:p>
      <w:pPr>
        <w:pStyle w:val="Normal"/>
        <w:rPr/>
      </w:pPr>
      <w:r>
        <w:rPr>
          <w:b/>
        </w:rPr>
        <w:t>Hypothèse de travail à confirmer.</w:t>
      </w:r>
      <w:r>
        <w:rPr/>
        <w:t xml:space="preserve"> Le produit est le module « Qualité ISO 9001 » de BESTQHSE, multi-organismes, utilisable à la fois par BEG pour ses accompagnements et par ses clients en autonomie.</w:t>
      </w:r>
    </w:p>
    <w:p>
      <w:pPr>
        <w:pStyle w:val="Heading3"/>
        <w:rPr/>
      </w:pPr>
      <w:r>
        <w:rPr/>
        <w:t>Objectifs mesurables (cibles de recette)</w:t>
      </w:r>
    </w:p>
    <w:p>
      <w:pPr>
        <w:pStyle w:val="ListParagraph"/>
        <w:numPr>
          <w:ilvl w:val="0"/>
          <w:numId w:val="1"/>
        </w:numPr>
        <w:rPr/>
      </w:pPr>
      <w:r>
        <w:rPr/>
        <w:t>Couvrir 100 % des exigences des articles 4 à 10 par au moins une fonction, avec une matrice de traçabilité exigence → écran → donnée → preuve.</w:t>
      </w:r>
    </w:p>
    <w:p>
      <w:pPr>
        <w:pStyle w:val="ListParagraph"/>
        <w:numPr>
          <w:ilvl w:val="0"/>
          <w:numId w:val="1"/>
        </w:numPr>
        <w:rPr/>
      </w:pPr>
      <w:r>
        <w:rPr/>
        <w:t>Un référent qualité produit une première version exploitable (contexte, périmètre, politique, processus, risques, objectifs) en une demi-journée grâce à l'assistant de démarrage.</w:t>
      </w:r>
    </w:p>
    <w:p>
      <w:pPr>
        <w:pStyle w:val="ListParagraph"/>
        <w:numPr>
          <w:ilvl w:val="0"/>
          <w:numId w:val="1"/>
        </w:numPr>
        <w:rPr/>
      </w:pPr>
      <w:r>
        <w:rPr/>
        <w:t>Dossier de préparation d'audit de certification exportable en un clic, avec toutes les informations documentées exigées et leurs versions.</w:t>
      </w:r>
    </w:p>
    <w:p>
      <w:pPr>
        <w:pStyle w:val="ListParagraph"/>
        <w:numPr>
          <w:ilvl w:val="0"/>
          <w:numId w:val="1"/>
        </w:numPr>
        <w:rPr/>
      </w:pPr>
      <w:r>
        <w:rPr/>
        <w:t>Chaque tâche courante (enregistrer une réclamation, déclarer une non-conformité, saisir un indicateur, répondre à une action) en moins de 60 secondes, y compris sur téléphone.</w:t>
      </w:r>
    </w:p>
    <w:p>
      <w:pPr>
        <w:pStyle w:val="ListParagraph"/>
        <w:numPr>
          <w:ilvl w:val="0"/>
          <w:numId w:val="1"/>
        </w:numPr>
        <w:rPr/>
      </w:pPr>
      <w:r>
        <w:rPr/>
        <w:t>Utilisation hors connexion pour les contrôles, audits et déclarations de terrain.</w:t>
      </w:r>
    </w:p>
    <w:p>
      <w:pPr>
        <w:pStyle w:val="Heading3"/>
        <w:rPr/>
      </w:pPr>
      <w:r>
        <w:rPr/>
        <w:t>Périmètre fonctionnel</w:t>
      </w:r>
    </w:p>
    <w:p>
      <w:pPr>
        <w:pStyle w:val="ListParagraph"/>
        <w:numPr>
          <w:ilvl w:val="0"/>
          <w:numId w:val="31"/>
        </w:numPr>
        <w:rPr/>
      </w:pPr>
      <w:r>
        <w:rPr>
          <w:b/>
        </w:rPr>
        <w:t>Inclus (V1)</w:t>
      </w:r>
      <w:r>
        <w:rPr/>
        <w:t xml:space="preserve"> : contexte, périmètre, processus, leadership et politique, risques, opportunités, objectifs, changements, ressources, compétences, sensibilisation, communication, documents, relation client, conception et développement, prestataires externes, production et prestation de service, libération, sorties non conformes, satisfaction du client, analyse des données, audits, revue de direction, non-conformités et amélioration.</w:t>
      </w:r>
    </w:p>
    <w:p>
      <w:pPr>
        <w:pStyle w:val="ListParagraph"/>
        <w:numPr>
          <w:ilvl w:val="0"/>
          <w:numId w:val="32"/>
        </w:numPr>
        <w:rPr/>
      </w:pPr>
      <w:r>
        <w:rPr>
          <w:b/>
        </w:rPr>
        <w:t>Prévu (V2)</w:t>
      </w:r>
      <w:r>
        <w:rPr/>
        <w:t xml:space="preserve"> : portail client et portail prestataire, enquêtes de satisfaction automatisées, intégration ERP et facturation, traçabilité par lots et codes-barres, maîtrise statistique des processus.</w:t>
      </w:r>
    </w:p>
    <w:p>
      <w:pPr>
        <w:pStyle w:val="ListParagraph"/>
        <w:numPr>
          <w:ilvl w:val="0"/>
          <w:numId w:val="33"/>
        </w:numPr>
        <w:rPr/>
      </w:pPr>
      <w:r>
        <w:rPr>
          <w:b/>
        </w:rPr>
        <w:t>Exclu</w:t>
      </w:r>
      <w:r>
        <w:rPr/>
        <w:t xml:space="preserve"> : planification de production (ordonnancement), gestion comptable, certification elle-même.</w:t>
      </w:r>
    </w:p>
    <w:p>
      <w:pPr>
        <w:pStyle w:val="Heading3"/>
        <w:rPr/>
      </w:pPr>
      <w:r>
        <w:rPr/>
        <w:t>Applicabilité modulable</w:t>
      </w:r>
    </w:p>
    <w:p>
      <w:pPr>
        <w:pStyle w:val="Normal"/>
        <w:rPr/>
      </w:pPr>
      <w:r>
        <w:rPr/>
        <w:t>La norme permet de juger certaines exigences non applicables si cela n'affecte ni la conformité des produits et services ni la satisfaction du client, avec justification écrite dans le domaine d'application (4.3, A.3). L'application doit donc permettre de désactiver un module ou une exigence avec motif obligatoire, et avertir si cette désactivation contredit les règles de la norme. Exemple : un organisme de services peut justifier la non-application de la conception si elle n'existe pas chez lui, mais pas celle du contrôle des prestataires externes s'il sous-traite.</w:t>
      </w:r>
    </w:p>
    <w:p>
      <w:pPr>
        <w:pStyle w:val="Heading2"/>
        <w:rPr/>
      </w:pPr>
      <w:r>
        <w:rPr/>
        <w:t>2. Utilisateurs, rôles et permissions</w:t>
      </w:r>
    </w:p>
    <w:p>
      <w:pPr>
        <w:pStyle w:val="Normal"/>
        <w:rPr/>
      </w:pPr>
      <w:r>
        <w:rPr/>
        <w:t>Les mêmes sept profils que pour l'ISO 14001 sont repris, avec des besoins propres à la qualité. L'article 5.3 impose d'attribuer et de communiquer les responsabilités ; la matrice est donc paramétrable par organisme et visible de tous.</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2340"/>
        <w:gridCol w:w="2340"/>
        <w:gridCol w:w="2340"/>
        <w:gridCol w:w="2339"/>
      </w:tblGrid>
      <w:tr>
        <w:trPr>
          <w:tblHeader w:val="true"/>
        </w:trPr>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Profil</w:t>
            </w:r>
          </w:p>
        </w:tc>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Qui</w:t>
            </w:r>
          </w:p>
        </w:tc>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Besoin principal</w:t>
            </w:r>
          </w:p>
        </w:tc>
        <w:tc>
          <w:tcPr>
            <w:tcW w:w="233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Appareil dominant</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Direction</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Dirigeant, comité de direction</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Fixer la politique, piloter, mener la revue de direction</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Ordinateur et téléphone</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Responsable qualité</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Représentant de la direction, qualiticien</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Administrer le SMQ, suivre les écarts, préparer l'audit</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Ordinateur</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Pilote de processus</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Responsable de service, de site, de projet</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Piloter ses processus, risques, objectifs, indicateurs et actions</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Ordinateur et téléphone</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Contributeur</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Tout collaborateur, commercial, technicien, sous-traitant sur site</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Enregistrer une réclamation, déclarer un écart, saisir une mesure, lire une consigne</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Téléphone</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Auditeur interne</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Personnel qualifié et indépendant</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Préparer, conduire et rapporter l'audit</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Tablette et téléphone</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Externe en lecture</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Auditeur de certification, client auditeur</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Consulter les preuves sans les modifier</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Ordinateur</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Administrateur technique</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BEG ou informatique du client</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Utilisateurs, paramètres, sauvegardes, journaux</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Ordinateur</w:t>
            </w:r>
          </w:p>
        </w:tc>
      </w:tr>
    </w:tbl>
    <w:p>
      <w:pPr>
        <w:pStyle w:val="Heading3"/>
        <w:rPr/>
      </w:pPr>
      <w:r>
        <w:rPr/>
        <w:t>Matrice de droits par défaut</w:t>
      </w:r>
    </w:p>
    <w:p>
      <w:pPr>
        <w:pStyle w:val="Normal"/>
        <w:rPr/>
      </w:pPr>
      <w:r>
        <w:rPr/>
        <w:t>L = lire · C = créer / déclarer · M = modifier · V = valider · A = administrer. Les droits s'appliquent par périmètre (organisme, site, processus) et chaque organisme peut les modifier.</w:t>
      </w:r>
    </w:p>
    <w:tbl>
      <w:tblPr>
        <w:tblStyle w:val="TableGrid"/>
        <w:tblW w:w="9359"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1337"/>
        <w:gridCol w:w="1336"/>
        <w:gridCol w:w="1338"/>
        <w:gridCol w:w="1336"/>
        <w:gridCol w:w="1338"/>
        <w:gridCol w:w="1336"/>
        <w:gridCol w:w="1337"/>
      </w:tblGrid>
      <w:tr>
        <w:trPr>
          <w:tblHeader w:val="true"/>
        </w:trPr>
        <w:tc>
          <w:tcPr>
            <w:tcW w:w="1337"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Fonction</w:t>
            </w:r>
          </w:p>
        </w:tc>
        <w:tc>
          <w:tcPr>
            <w:tcW w:w="133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Direction</w:t>
            </w:r>
          </w:p>
        </w:tc>
        <w:tc>
          <w:tcPr>
            <w:tcW w:w="1338"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Resp. qualité</w:t>
            </w:r>
          </w:p>
        </w:tc>
        <w:tc>
          <w:tcPr>
            <w:tcW w:w="133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Pilote</w:t>
            </w:r>
          </w:p>
        </w:tc>
        <w:tc>
          <w:tcPr>
            <w:tcW w:w="1338"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Contributeur</w:t>
            </w:r>
          </w:p>
        </w:tc>
        <w:tc>
          <w:tcPr>
            <w:tcW w:w="133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Auditeur interne</w:t>
            </w:r>
          </w:p>
        </w:tc>
        <w:tc>
          <w:tcPr>
            <w:tcW w:w="1337"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Externe</w:t>
            </w:r>
          </w:p>
        </w:tc>
      </w:tr>
      <w:tr>
        <w:trPr/>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Contexte, parties intéressées, périmètre</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V</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r>
      <w:tr>
        <w:trPr/>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Processus</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 V</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r>
      <w:tr>
        <w:trPr/>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Politique qualité, culture qualité</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V</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r>
      <w:tr>
        <w:trPr/>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Risques et opportunités</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 V</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r>
      <w:tr>
        <w:trPr/>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Objectifs et plans d'actions</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V</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r>
      <w:tr>
        <w:trPr/>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Changements</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V</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r>
      <w:tr>
        <w:trPr/>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Ressources, compétences, sensibilisation</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r>
      <w:tr>
        <w:trPr/>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Documents</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 V</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r>
      <w:tr>
        <w:trPr/>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Relation client, réclamations</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 V</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r>
      <w:tr>
        <w:trPr/>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Conception et développement</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M</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 V</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r>
      <w:tr>
        <w:trPr/>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Prestataires externes</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 V</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r>
      <w:tr>
        <w:trPr/>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Production, prestation, libération</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M</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 V</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r>
      <w:tr>
        <w:trPr/>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Satisfaction, indicateurs, analyse</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r>
      <w:tr>
        <w:trPr/>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Audits internes</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 V</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w:t>
            </w:r>
          </w:p>
        </w:tc>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r>
      <w:tr>
        <w:trPr/>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Revue de direction</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 V</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r>
      <w:tr>
        <w:trPr/>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Non-conformités et actions</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 V</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 M</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 C</w:t>
            </w:r>
          </w:p>
        </w:tc>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r>
      <w:tr>
        <w:trPr/>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Administration et journaux</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c>
          <w:tcPr>
            <w:tcW w:w="1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r>
    </w:tbl>
    <w:p>
      <w:pPr>
        <w:pStyle w:val="Heading3"/>
        <w:rPr/>
      </w:pPr>
      <w:r>
        <w:rPr/>
        <w:t>Règles transverses</w:t>
      </w:r>
    </w:p>
    <w:p>
      <w:pPr>
        <w:pStyle w:val="ListParagraph"/>
        <w:numPr>
          <w:ilvl w:val="0"/>
          <w:numId w:val="34"/>
        </w:numPr>
        <w:rPr/>
      </w:pPr>
      <w:r>
        <w:rPr>
          <w:b/>
        </w:rPr>
        <w:t>Séparation des rôles</w:t>
      </w:r>
      <w:r>
        <w:rPr/>
        <w:t xml:space="preserve"> : un auditeur interne ne peut ni valider ni modifier les éléments de l'activité qu'il audite (objectivité et impartialité, 9.2.2 b).</w:t>
      </w:r>
    </w:p>
    <w:p>
      <w:pPr>
        <w:pStyle w:val="ListParagraph"/>
        <w:numPr>
          <w:ilvl w:val="0"/>
          <w:numId w:val="35"/>
        </w:numPr>
        <w:rPr/>
      </w:pPr>
      <w:r>
        <w:rPr>
          <w:b/>
        </w:rPr>
        <w:t>Libération</w:t>
      </w:r>
      <w:r>
        <w:rPr/>
        <w:t xml:space="preserve"> : la libération d'un produit ou service est réservée aux personnes dotées de l'autorité requise ; toute dérogation exige l'approbation d'une autorité compétente et, le cas échéant, du client (8.6).</w:t>
      </w:r>
    </w:p>
    <w:p>
      <w:pPr>
        <w:pStyle w:val="ListParagraph"/>
        <w:numPr>
          <w:ilvl w:val="0"/>
          <w:numId w:val="36"/>
        </w:numPr>
        <w:rPr/>
      </w:pPr>
      <w:r>
        <w:rPr>
          <w:b/>
        </w:rPr>
        <w:t>Délégation</w:t>
      </w:r>
      <w:r>
        <w:rPr/>
        <w:t xml:space="preserve"> : « s'assurer » délègue la réalisation, pas la responsabilité (A.2 d) ; l'application garde la mention « responsabilité de la direction » sur les décisions que la direction valide.</w:t>
      </w:r>
    </w:p>
    <w:p>
      <w:pPr>
        <w:pStyle w:val="ListParagraph"/>
        <w:numPr>
          <w:ilvl w:val="0"/>
          <w:numId w:val="37"/>
        </w:numPr>
        <w:rPr/>
      </w:pPr>
      <w:r>
        <w:rPr>
          <w:b/>
        </w:rPr>
        <w:t>Accès externe</w:t>
      </w:r>
      <w:r>
        <w:rPr/>
        <w:t xml:space="preserve"> : lien nominatif à durée limitée, lecture seule, journalisé.</w:t>
      </w:r>
    </w:p>
    <w:p>
      <w:pPr>
        <w:pStyle w:val="Heading2"/>
        <w:rPr/>
      </w:pPr>
      <w:r>
        <w:rPr/>
        <w:t>3. Cartographie des exigences ISO 9001:2026 vers l'application</w:t>
      </w:r>
    </w:p>
    <w:p>
      <w:pPr>
        <w:pStyle w:val="Normal"/>
        <w:rPr/>
      </w:pPr>
      <w:r>
        <w:rPr/>
        <w:t>Chaque article correspond à un module ; la colonne « Preuve » liste ce que la norme demande de rendre disponible, que l'application produit et versionne automatiquement.</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2340"/>
        <w:gridCol w:w="2340"/>
        <w:gridCol w:w="2340"/>
        <w:gridCol w:w="2339"/>
      </w:tblGrid>
      <w:tr>
        <w:trPr>
          <w:tblHeader w:val="true"/>
        </w:trPr>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Article</w:t>
            </w:r>
          </w:p>
        </w:tc>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Exigence clé</w:t>
            </w:r>
          </w:p>
        </w:tc>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Module</w:t>
            </w:r>
          </w:p>
        </w:tc>
        <w:tc>
          <w:tcPr>
            <w:tcW w:w="233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Preuve produite</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4.1, 4.2</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Enjeux internes et externes (dont changements climatiques), parties intéressées, surveillance et revue de ces informations</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Q1 Contexte</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Registre des enjeux et des parties intéressées</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4.3</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Domaine d'application : types de produits et services, justification des exigences non applicables</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Q1 Contexte</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Déclaration du domaine d'application</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4.4</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Processus, entrées, sorties, séquence, critères, ressources, responsabilités, risques, évaluation</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Q2 Processus</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Fiches processus et cartographie</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5.1, 5.2, 5.3</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Leadership, orientation client, culture qualité et éthique, politique, rôles et autorités</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Q3 Leadership et politique</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Politique signée, matrice des responsabilités</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6.1.1, 6.1.2</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Détermination, analyse et évaluation des risques, actions proportionnées</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Q4 Risques</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Registre des risques</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6.1.1, 6.1.3</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Opportunités, analyse, actions</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Q5 Opportunités</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Registre des opportunités</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6.2</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Objectifs qualité mesurables et plans pour les atteindre</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Q6 Objectifs et plans d'actions</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Objectifs, plans d'actions</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6.3</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Planification des changements</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Q7 Changements</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Fiches de changement</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7.1</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Ressources : humaines, infrastructure, environnement, mesure, connaissances</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Q8 Ressources et connaissances</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Preuves d'adéquation, registre des équipements de mesure</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7.2, 7.3</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Compétences et sensibilisation</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Q9 Compétences et sensibilisation</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Matrice, preuves de compétence</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7.4</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Communication interne et externe</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Q10 Communication</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Plan et registre des communications</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7.5</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Informations documentées</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Q11 Gestion documentaire</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Documents, enregistrements, versions</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8.2</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Communication avec les clients, exigences, revue, modifications</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Q12 Relation client</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Revues de commande ou de contrat, réclamations</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8.3</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Conception et développement</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Q13 Conception et développement</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Dossier de conception</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8.4</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Prestataires externes</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Q14 Prestataires externes</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Évaluations, commandes, exigences communiquées</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8.1, 8.5, 8.6, 8.7</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Planification opérationnelle, production et prestation, libération, sorties non conformes</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Q15 Production et prestation</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Dossiers de production, preuves de libération, fiches de sortie non conforme</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9.1</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Surveillance, mesure, satisfaction du client, analyse et évaluation</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Q16 Satisfaction et performance</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Résultats, enquêtes, analyses</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9.2</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Audit interne</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Q17 Audits internes</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Programme, rapports</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9.3</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Revue de direction</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Q18 Revue de direction</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Compte rendu et décisions</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10.1, 10.2</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Amélioration, non-conformité et action corrective</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Q19 Non-conformités et amélioration</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Fiches, résultats des actions</w:t>
            </w:r>
          </w:p>
        </w:tc>
      </w:tr>
    </w:tbl>
    <w:p>
      <w:pPr>
        <w:pStyle w:val="Heading3"/>
        <w:rPr/>
      </w:pPr>
      <w:r>
        <w:rPr/>
        <w:t>Points d'attention de l'édition 2026 à traduire en fonctions</w:t>
      </w:r>
    </w:p>
    <w:p>
      <w:pPr>
        <w:pStyle w:val="ListParagraph"/>
        <w:numPr>
          <w:ilvl w:val="0"/>
          <w:numId w:val="38"/>
        </w:numPr>
        <w:rPr/>
      </w:pPr>
      <w:r>
        <w:rPr>
          <w:b/>
        </w:rPr>
        <w:t>Changements climatiques (4.1, 4.2)</w:t>
      </w:r>
      <w:r>
        <w:rPr/>
        <w:t xml:space="preserve"> : pour chaque enjeu, une question obligatoire « découle-t-il des changements climatiques ? » ; les attentes des parties intéressées sur ce sujet sont repérables.</w:t>
      </w:r>
    </w:p>
    <w:p>
      <w:pPr>
        <w:pStyle w:val="ListParagraph"/>
        <w:numPr>
          <w:ilvl w:val="0"/>
          <w:numId w:val="39"/>
        </w:numPr>
        <w:rPr/>
      </w:pPr>
      <w:r>
        <w:rPr>
          <w:b/>
        </w:rPr>
        <w:t>Surveillance et revue des enjeux et des parties intéressées (4.1, 4.2)</w:t>
      </w:r>
      <w:r>
        <w:rPr/>
        <w:t xml:space="preserve"> : fréquence de revue obligatoire par fiche, avec rappel et trace de la dernière revue.</w:t>
      </w:r>
    </w:p>
    <w:p>
      <w:pPr>
        <w:pStyle w:val="ListParagraph"/>
        <w:numPr>
          <w:ilvl w:val="0"/>
          <w:numId w:val="40"/>
        </w:numPr>
        <w:rPr/>
      </w:pPr>
      <w:r>
        <w:rPr>
          <w:b/>
        </w:rPr>
        <w:t>Domaine d'application (4.3)</w:t>
      </w:r>
      <w:r>
        <w:rPr/>
        <w:t xml:space="preserve"> : types de produits et services obligatoires ; chaque exigence jugée non applicable porte sa justification.</w:t>
      </w:r>
    </w:p>
    <w:p>
      <w:pPr>
        <w:pStyle w:val="ListParagraph"/>
        <w:numPr>
          <w:ilvl w:val="0"/>
          <w:numId w:val="41"/>
        </w:numPr>
        <w:rPr/>
      </w:pPr>
      <w:r>
        <w:rPr>
          <w:b/>
        </w:rPr>
        <w:t>Culture de la qualité et comportement éthique (5.1.1 i, 7.3 e)</w:t>
      </w:r>
      <w:r>
        <w:rPr/>
        <w:t xml:space="preserve"> : module de suivi dédié (valeurs, engagements, signalements, sensibilisation) ; pas de notation de personnes.</w:t>
      </w:r>
    </w:p>
    <w:p>
      <w:pPr>
        <w:pStyle w:val="ListParagraph"/>
        <w:numPr>
          <w:ilvl w:val="0"/>
          <w:numId w:val="42"/>
        </w:numPr>
        <w:rPr/>
      </w:pPr>
      <w:r>
        <w:rPr>
          <w:b/>
        </w:rPr>
        <w:t>Risques et opportunités séparés (6.1)</w:t>
      </w:r>
      <w:r>
        <w:rPr/>
        <w:t xml:space="preserve"> : deux registres, deux processus, deux jeux d'actions ; ils peuvent être traités ensemble dans l'écran mais restent distincts dans les données et rapports.</w:t>
      </w:r>
    </w:p>
    <w:p>
      <w:pPr>
        <w:pStyle w:val="ListParagraph"/>
        <w:numPr>
          <w:ilvl w:val="0"/>
          <w:numId w:val="43"/>
        </w:numPr>
        <w:rPr/>
      </w:pPr>
      <w:r>
        <w:rPr>
          <w:b/>
        </w:rPr>
        <w:t>Changements renforcés (6.3 et renvois)</w:t>
      </w:r>
      <w:r>
        <w:rPr/>
        <w:t xml:space="preserve"> : un seul module de changements, relié à la continuité du SMQ (5.3 f), à la maîtrise opérationnelle (8.1), aux modifications d'exigences (8.2.4), de conception (8.3.6) et de production (8.5.6).</w:t>
      </w:r>
    </w:p>
    <w:p>
      <w:pPr>
        <w:pStyle w:val="ListParagraph"/>
        <w:numPr>
          <w:ilvl w:val="0"/>
          <w:numId w:val="44"/>
        </w:numPr>
        <w:rPr/>
      </w:pPr>
      <w:r>
        <w:rPr>
          <w:b/>
        </w:rPr>
        <w:t>Environnement des processus (7.1.4)</w:t>
      </w:r>
      <w:r>
        <w:rPr/>
        <w:t xml:space="preserve"> : facteurs sociaux, psychologiques et physiques suivis comme un sujet de pilotage.</w:t>
      </w:r>
    </w:p>
    <w:p>
      <w:pPr>
        <w:pStyle w:val="ListParagraph"/>
        <w:numPr>
          <w:ilvl w:val="0"/>
          <w:numId w:val="45"/>
        </w:numPr>
        <w:rPr/>
      </w:pPr>
      <w:r>
        <w:rPr>
          <w:b/>
        </w:rPr>
        <w:t>Traçabilité des mesures (7.1.5.2)</w:t>
      </w:r>
      <w:r>
        <w:rPr/>
        <w:t xml:space="preserve"> : registre d'équipements avec étalonnage, identification, protection et analyse d'impact sur les mesures antérieures en cas de défaut.</w:t>
      </w:r>
    </w:p>
    <w:p>
      <w:pPr>
        <w:pStyle w:val="ListParagraph"/>
        <w:numPr>
          <w:ilvl w:val="0"/>
          <w:numId w:val="46"/>
        </w:numPr>
        <w:rPr/>
      </w:pPr>
      <w:r>
        <w:rPr>
          <w:b/>
        </w:rPr>
        <w:t>Connaissances organisationnelles (7.1.6)</w:t>
      </w:r>
      <w:r>
        <w:rPr/>
        <w:t xml:space="preserve"> : base de connaissances avec sources, partage et mise à jour.</w:t>
      </w:r>
    </w:p>
    <w:p>
      <w:pPr>
        <w:pStyle w:val="ListParagraph"/>
        <w:numPr>
          <w:ilvl w:val="0"/>
          <w:numId w:val="47"/>
        </w:numPr>
        <w:rPr/>
      </w:pPr>
      <w:r>
        <w:rPr>
          <w:b/>
        </w:rPr>
        <w:t>Analyse des données (9.1.3)</w:t>
      </w:r>
      <w:r>
        <w:rPr/>
        <w:t xml:space="preserve"> : huit questions d'analyse imposées dans le tableau de bord, dont l'efficacité du traitement des risques et des opportunités.</w:t>
      </w:r>
    </w:p>
    <w:p>
      <w:pPr>
        <w:pStyle w:val="ListParagraph"/>
        <w:numPr>
          <w:ilvl w:val="0"/>
          <w:numId w:val="48"/>
        </w:numPr>
        <w:rPr/>
      </w:pPr>
      <w:r>
        <w:rPr>
          <w:b/>
        </w:rPr>
        <w:t>Entrées de revue élargies (9.3.2)</w:t>
      </w:r>
      <w:r>
        <w:rPr/>
        <w:t xml:space="preserve"> : efficacité des actions sur les risques et les opportunités ajoutée.</w:t>
      </w:r>
    </w:p>
    <w:p>
      <w:pPr>
        <w:pStyle w:val="ListParagraph"/>
        <w:numPr>
          <w:ilvl w:val="0"/>
          <w:numId w:val="49"/>
        </w:numPr>
        <w:rPr/>
      </w:pPr>
      <w:r>
        <w:rPr>
          <w:b/>
        </w:rPr>
        <w:t>Distinction document / enregistrement (A.2 e)</w:t>
      </w:r>
      <w:r>
        <w:rPr/>
        <w:t xml:space="preserve"> : chaque information documentée est typée « disponible » ou « preuve » ; les preuves sont protégées contre l'altération (8.1, A.7.5).</w:t>
      </w:r>
    </w:p>
    <w:p>
      <w:pPr>
        <w:pStyle w:val="Heading2"/>
        <w:rPr/>
      </w:pPr>
      <w:r>
        <w:rPr/>
        <w:t>4. Spécifications fonctionnelles par module</w:t>
      </w:r>
    </w:p>
    <w:p>
      <w:pPr>
        <w:pStyle w:val="Normal"/>
        <w:rPr/>
      </w:pPr>
      <w:r>
        <w:rPr/>
        <w:t>Chaque module décrit ses fonctions (identifiant Qx-nn, repris dans la recette). Convention commune : chaque fiche porte un propriétaire, un statut (brouillon, en revue, validé, archivé), une date de dernière revue et un historique complet.</w:t>
      </w:r>
    </w:p>
    <w:p>
      <w:pPr>
        <w:pStyle w:val="Heading3"/>
        <w:rPr/>
      </w:pPr>
      <w:r>
        <w:rPr/>
        <w:t>Q1. Contexte de l'organisme (art. 4.1 à 4.3)</w:t>
      </w:r>
    </w:p>
    <w:p>
      <w:pPr>
        <w:pStyle w:val="ListParagraph"/>
        <w:numPr>
          <w:ilvl w:val="0"/>
          <w:numId w:val="50"/>
        </w:numPr>
        <w:rPr/>
      </w:pPr>
      <w:r>
        <w:rPr>
          <w:b/>
        </w:rPr>
        <w:t>Q1-01</w:t>
      </w:r>
      <w:r>
        <w:rPr/>
        <w:t xml:space="preserve"> Registre des enjeux internes et externes : intitulé, catégorie (juridique, technologique, concurrentiel, commercial, culturel, politique, social, économique, environnemental ; interne : orientation stratégique, valeurs, culture, ressources, connaissances, performance), niveau (international, national, régional, local), effet (positif ou négatif).</w:t>
      </w:r>
    </w:p>
    <w:p>
      <w:pPr>
        <w:pStyle w:val="ListParagraph"/>
        <w:numPr>
          <w:ilvl w:val="0"/>
          <w:numId w:val="51"/>
        </w:numPr>
        <w:rPr/>
      </w:pPr>
      <w:r>
        <w:rPr>
          <w:b/>
        </w:rPr>
        <w:t>Q1-02</w:t>
      </w:r>
      <w:r>
        <w:rPr/>
        <w:t xml:space="preserve"> Question obligatoire sur chaque enjeu : « découle-t-il des changements climatiques ? » (oui, non, à étudier), avec filtre et synthèse dans la revue de direction.</w:t>
      </w:r>
    </w:p>
    <w:p>
      <w:pPr>
        <w:pStyle w:val="ListParagraph"/>
        <w:numPr>
          <w:ilvl w:val="0"/>
          <w:numId w:val="52"/>
        </w:numPr>
        <w:rPr/>
      </w:pPr>
      <w:r>
        <w:rPr>
          <w:b/>
        </w:rPr>
        <w:t>Q1-03</w:t>
      </w:r>
      <w:r>
        <w:rPr/>
        <w:t xml:space="preserve"> Registre des parties intéressées : type (clients, propriétaires, personnel, prestataires, financeurs, autorités, syndicats, partenaires, société), exigences pertinentes, décision « traitée par le SMQ : oui / non » avec justification, attentes liées au climat.</w:t>
      </w:r>
    </w:p>
    <w:p>
      <w:pPr>
        <w:pStyle w:val="ListParagraph"/>
        <w:numPr>
          <w:ilvl w:val="0"/>
          <w:numId w:val="53"/>
        </w:numPr>
        <w:rPr/>
      </w:pPr>
      <w:r>
        <w:rPr>
          <w:b/>
        </w:rPr>
        <w:t>Q1-04</w:t>
      </w:r>
      <w:r>
        <w:rPr/>
        <w:t xml:space="preserve"> Surveillance et revue : fréquence de revue par fiche, alerte d'échéance, historique, tâche de revue au responsable qualité.</w:t>
      </w:r>
    </w:p>
    <w:p>
      <w:pPr>
        <w:pStyle w:val="ListParagraph"/>
        <w:numPr>
          <w:ilvl w:val="0"/>
          <w:numId w:val="54"/>
        </w:numPr>
        <w:rPr/>
      </w:pPr>
      <w:r>
        <w:rPr>
          <w:b/>
        </w:rPr>
        <w:t>Q1-05</w:t>
      </w:r>
      <w:r>
        <w:rPr/>
        <w:t xml:space="preserve"> Domaine d'application : types de produits et services, sites (un site peut avoir son propre domaine), limites, exigences de la norme jugées non applicables avec justification obligatoire.</w:t>
      </w:r>
    </w:p>
    <w:p>
      <w:pPr>
        <w:pStyle w:val="ListParagraph"/>
        <w:numPr>
          <w:ilvl w:val="0"/>
          <w:numId w:val="55"/>
        </w:numPr>
        <w:rPr/>
      </w:pPr>
      <w:r>
        <w:rPr>
          <w:b/>
        </w:rPr>
        <w:t>Q1-06</w:t>
      </w:r>
      <w:r>
        <w:rPr/>
        <w:t xml:space="preserve"> Contrôle de cohérence : avertissement si une exigence est déclarée non applicable alors qu'elle touche la conformité des produits et services ou la satisfaction du client (4.3, A.3) ; la déclaration de conformité à la norme est bloquée tant que l'avertissement n'est pas levé.</w:t>
      </w:r>
    </w:p>
    <w:p>
      <w:pPr>
        <w:pStyle w:val="ListParagraph"/>
        <w:numPr>
          <w:ilvl w:val="0"/>
          <w:numId w:val="56"/>
        </w:numPr>
        <w:rPr/>
      </w:pPr>
      <w:r>
        <w:rPr>
          <w:b/>
        </w:rPr>
        <w:t>Q1-07</w:t>
      </w:r>
      <w:r>
        <w:rPr/>
        <w:t xml:space="preserve"> Publication contrôlée du domaine d'application, avec version et date.</w:t>
      </w:r>
    </w:p>
    <w:p>
      <w:pPr>
        <w:pStyle w:val="Heading3"/>
        <w:rPr/>
      </w:pPr>
      <w:r>
        <w:rPr/>
        <w:t>Q2. Processus du SMQ (art. 4.4)</w:t>
      </w:r>
    </w:p>
    <w:p>
      <w:pPr>
        <w:pStyle w:val="ListParagraph"/>
        <w:numPr>
          <w:ilvl w:val="0"/>
          <w:numId w:val="57"/>
        </w:numPr>
        <w:rPr/>
      </w:pPr>
      <w:r>
        <w:rPr>
          <w:b/>
        </w:rPr>
        <w:t>Q2-01</w:t>
      </w:r>
      <w:r>
        <w:rPr/>
        <w:t xml:space="preserve"> Fiche processus avec les éléments de 4.4.1 : finalité, éléments d'entrée requis, éléments de sortie attendus, séquence et interactions, critères et méthodes de maîtrise (surveillance, mesures, indicateurs), ressources, responsable et autorités, risques et opportunités liés, méthode d'évaluation, pistes d'amélioration.</w:t>
      </w:r>
    </w:p>
    <w:p>
      <w:pPr>
        <w:pStyle w:val="ListParagraph"/>
        <w:numPr>
          <w:ilvl w:val="0"/>
          <w:numId w:val="58"/>
        </w:numPr>
        <w:rPr/>
      </w:pPr>
      <w:r>
        <w:rPr>
          <w:b/>
        </w:rPr>
        <w:t>Q2-02</w:t>
      </w:r>
      <w:r>
        <w:rPr/>
        <w:t xml:space="preserve"> Cartographie graphique (management, réalisation, support) cliquable, générée à partir des fiches ; les entrées d'un processus se relient aux sorties d'un autre.</w:t>
      </w:r>
    </w:p>
    <w:p>
      <w:pPr>
        <w:pStyle w:val="ListParagraph"/>
        <w:numPr>
          <w:ilvl w:val="0"/>
          <w:numId w:val="59"/>
        </w:numPr>
        <w:rPr/>
      </w:pPr>
      <w:r>
        <w:rPr>
          <w:b/>
        </w:rPr>
        <w:t>Q2-03</w:t>
      </w:r>
      <w:r>
        <w:rPr/>
        <w:t xml:space="preserve"> Vue « tortue » d'un processus (entrées, sorties, ressources, compétences, méthodes, indicateurs) imprimable.</w:t>
      </w:r>
    </w:p>
    <w:p>
      <w:pPr>
        <w:pStyle w:val="ListParagraph"/>
        <w:numPr>
          <w:ilvl w:val="0"/>
          <w:numId w:val="60"/>
        </w:numPr>
        <w:rPr/>
      </w:pPr>
      <w:r>
        <w:rPr>
          <w:b/>
        </w:rPr>
        <w:t>Q2-04</w:t>
      </w:r>
      <w:r>
        <w:rPr/>
        <w:t xml:space="preserve"> Choix, processus par processus, des informations documentées d'appui et de preuve (4.4.2) ; l'organisme décide du niveau de détail (A.4.4).</w:t>
      </w:r>
    </w:p>
    <w:p>
      <w:pPr>
        <w:pStyle w:val="ListParagraph"/>
        <w:numPr>
          <w:ilvl w:val="0"/>
          <w:numId w:val="61"/>
        </w:numPr>
        <w:rPr/>
      </w:pPr>
      <w:r>
        <w:rPr>
          <w:b/>
        </w:rPr>
        <w:t>Q2-05</w:t>
      </w:r>
      <w:r>
        <w:rPr/>
        <w:t xml:space="preserve"> Matrice de couverture : quels processus couvrent quels articles de la norme.</w:t>
      </w:r>
    </w:p>
    <w:p>
      <w:pPr>
        <w:pStyle w:val="Heading3"/>
        <w:rPr/>
      </w:pPr>
      <w:r>
        <w:rPr/>
        <w:t>Q3. Leadership, politique, orientation client et culture (art. 5)</w:t>
      </w:r>
    </w:p>
    <w:p>
      <w:pPr>
        <w:pStyle w:val="ListParagraph"/>
        <w:numPr>
          <w:ilvl w:val="0"/>
          <w:numId w:val="62"/>
        </w:numPr>
        <w:rPr/>
      </w:pPr>
      <w:r>
        <w:rPr>
          <w:b/>
        </w:rPr>
        <w:t>Q3-01</w:t>
      </w:r>
      <w:r>
        <w:rPr/>
        <w:t xml:space="preserve"> Éditeur de politique qualité guidé : cadre pour les objectifs, engagement de satisfaire aux exigences applicables, engagement d'amélioration continue, prise en compte du contexte et de l'orientation stratégique.</w:t>
      </w:r>
    </w:p>
    <w:p>
      <w:pPr>
        <w:pStyle w:val="ListParagraph"/>
        <w:numPr>
          <w:ilvl w:val="0"/>
          <w:numId w:val="63"/>
        </w:numPr>
        <w:rPr/>
      </w:pPr>
      <w:r>
        <w:rPr>
          <w:b/>
        </w:rPr>
        <w:t>Q3-02</w:t>
      </w:r>
      <w:r>
        <w:rPr/>
        <w:t xml:space="preserve"> Circuit de validation, signature de la direction, diffusion interne avec accusé de lecture, publication aux parties intéressées le cas échéant.</w:t>
      </w:r>
    </w:p>
    <w:p>
      <w:pPr>
        <w:pStyle w:val="ListParagraph"/>
        <w:numPr>
          <w:ilvl w:val="0"/>
          <w:numId w:val="64"/>
        </w:numPr>
        <w:rPr/>
      </w:pPr>
      <w:r>
        <w:rPr>
          <w:b/>
        </w:rPr>
        <w:t>Q3-03</w:t>
      </w:r>
      <w:r>
        <w:rPr/>
        <w:t xml:space="preserve"> Politique « comprise et appliquée » (5.2.2 d) : mini-quiz de compréhension et retour d'expérience par équipe, avec taux de compréhension par site.</w:t>
      </w:r>
    </w:p>
    <w:p>
      <w:pPr>
        <w:pStyle w:val="ListParagraph"/>
        <w:numPr>
          <w:ilvl w:val="0"/>
          <w:numId w:val="65"/>
        </w:numPr>
        <w:rPr/>
      </w:pPr>
      <w:r>
        <w:rPr>
          <w:b/>
        </w:rPr>
        <w:t>Q3-04</w:t>
      </w:r>
      <w:r>
        <w:rPr/>
        <w:t xml:space="preserve"> Suivi des engagements de leadership (5.1.1 a à l) : liste de contrôle annuelle renseignée par la direction, avec justification et pièces.</w:t>
      </w:r>
    </w:p>
    <w:p>
      <w:pPr>
        <w:pStyle w:val="ListParagraph"/>
        <w:numPr>
          <w:ilvl w:val="0"/>
          <w:numId w:val="66"/>
        </w:numPr>
        <w:rPr/>
      </w:pPr>
      <w:r>
        <w:rPr>
          <w:b/>
        </w:rPr>
        <w:t>Q3-05</w:t>
      </w:r>
      <w:r>
        <w:rPr/>
        <w:t xml:space="preserve"> Orientation client (5.1.2) : trois contrôles tracés (exigences clients et légales déterminées, comprises et satisfaites ; risques et opportunités traités ; amélioration de la satisfaction maintenue comme priorité).</w:t>
      </w:r>
    </w:p>
    <w:p>
      <w:pPr>
        <w:pStyle w:val="ListParagraph"/>
        <w:numPr>
          <w:ilvl w:val="0"/>
          <w:numId w:val="67"/>
        </w:numPr>
        <w:rPr/>
      </w:pPr>
      <w:r>
        <w:rPr>
          <w:b/>
        </w:rPr>
        <w:t>Q3-06</w:t>
      </w:r>
      <w:r>
        <w:rPr/>
        <w:t xml:space="preserve"> Culture de la qualité et comportement éthique : charte de valeurs, engagements, canal de signalement confidentiel (anonymat possible), suivi des signalements et de leur traitement, enquêtes courtes de perception. Aucun score individuel n'est calculé.</w:t>
      </w:r>
    </w:p>
    <w:p>
      <w:pPr>
        <w:pStyle w:val="ListParagraph"/>
        <w:numPr>
          <w:ilvl w:val="0"/>
          <w:numId w:val="68"/>
        </w:numPr>
        <w:rPr/>
      </w:pPr>
      <w:r>
        <w:rPr>
          <w:b/>
        </w:rPr>
        <w:t>Q3-07</w:t>
      </w:r>
      <w:r>
        <w:rPr/>
        <w:t xml:space="preserve"> Organigramme et matrice des responsabilités avec les six attributions de 5.3 (conformité du SMQ, rapport de performance, résultats des processus, promotion de l'orientation client, opportunités d'amélioration, continuité du SMQ lors des changements).</w:t>
      </w:r>
    </w:p>
    <w:p>
      <w:pPr>
        <w:pStyle w:val="Heading3"/>
        <w:rPr/>
      </w:pPr>
      <w:r>
        <w:rPr/>
        <w:t>Q4. Risques (art. 6.1.1 et 6.1.2)</w:t>
      </w:r>
    </w:p>
    <w:p>
      <w:pPr>
        <w:pStyle w:val="ListParagraph"/>
        <w:numPr>
          <w:ilvl w:val="0"/>
          <w:numId w:val="69"/>
        </w:numPr>
        <w:rPr/>
      </w:pPr>
      <w:r>
        <w:rPr>
          <w:b/>
        </w:rPr>
        <w:t>Q4-01</w:t>
      </w:r>
      <w:r>
        <w:rPr/>
        <w:t xml:space="preserve"> Fiche risque : source (enjeu, partie intéressée, processus, changement), événement et effet indésirable sur la capacité à fournir des produits et services conformes ou à améliorer la satisfaction, processus concerné.</w:t>
      </w:r>
    </w:p>
    <w:p>
      <w:pPr>
        <w:pStyle w:val="ListParagraph"/>
        <w:numPr>
          <w:ilvl w:val="0"/>
          <w:numId w:val="70"/>
        </w:numPr>
        <w:rPr/>
      </w:pPr>
      <w:r>
        <w:rPr>
          <w:b/>
        </w:rPr>
        <w:t>Q4-02</w:t>
      </w:r>
      <w:r>
        <w:rPr/>
        <w:t xml:space="preserve"> Analyse et évaluation par la méthode choisie par l'organisme : simple (faible, moyen, élevé) ou quantifiée ; aucune méthode formelle n'est imposée (A.6.1.2).</w:t>
      </w:r>
    </w:p>
    <w:p>
      <w:pPr>
        <w:pStyle w:val="ListParagraph"/>
        <w:numPr>
          <w:ilvl w:val="0"/>
          <w:numId w:val="71"/>
        </w:numPr>
        <w:rPr/>
      </w:pPr>
      <w:r>
        <w:rPr>
          <w:b/>
        </w:rPr>
        <w:t>Q4-03</w:t>
      </w:r>
      <w:r>
        <w:rPr/>
        <w:t xml:space="preserve"> Stratégie de réponse au choix : éviter, prendre le risque pour saisir une opportunité, éliminer la source, modifier la probabilité ou les conséquences, partager, maintenir sur décision éclairée (note de 6.1.2).</w:t>
      </w:r>
    </w:p>
    <w:p>
      <w:pPr>
        <w:pStyle w:val="ListParagraph"/>
        <w:numPr>
          <w:ilvl w:val="0"/>
          <w:numId w:val="72"/>
        </w:numPr>
        <w:rPr/>
      </w:pPr>
      <w:r>
        <w:rPr>
          <w:b/>
        </w:rPr>
        <w:t>Q4-04</w:t>
      </w:r>
      <w:r>
        <w:rPr/>
        <w:t xml:space="preserve"> Contrôle de proportionnalité : l'effort d'action est comparé à l'impact potentiel ; alerte en cas d'écart marqué.</w:t>
      </w:r>
    </w:p>
    <w:p>
      <w:pPr>
        <w:pStyle w:val="ListParagraph"/>
        <w:numPr>
          <w:ilvl w:val="0"/>
          <w:numId w:val="73"/>
        </w:numPr>
        <w:rPr/>
      </w:pPr>
      <w:r>
        <w:rPr>
          <w:b/>
        </w:rPr>
        <w:t>Q4-05</w:t>
      </w:r>
      <w:r>
        <w:rPr/>
        <w:t xml:space="preserve"> Risques de perturbation (rupture d'approvisionnement, panne, indisponibilité) : indicateur « capacité à fournir pendant et après une perturbation » et lien avec un plan de continuité documenté.</w:t>
      </w:r>
    </w:p>
    <w:p>
      <w:pPr>
        <w:pStyle w:val="ListParagraph"/>
        <w:numPr>
          <w:ilvl w:val="0"/>
          <w:numId w:val="74"/>
        </w:numPr>
        <w:rPr/>
      </w:pPr>
      <w:r>
        <w:rPr>
          <w:b/>
        </w:rPr>
        <w:t>Q4-06</w:t>
      </w:r>
      <w:r>
        <w:rPr/>
        <w:t xml:space="preserve"> Intégration dans les processus et évaluation de l'efficacité des actions : champs obligatoires, rappel d'évaluation, résultat alimentant l'analyse 9.1.3 e et la revue 9.3.2 g.</w:t>
      </w:r>
    </w:p>
    <w:p>
      <w:pPr>
        <w:pStyle w:val="ListParagraph"/>
        <w:numPr>
          <w:ilvl w:val="0"/>
          <w:numId w:val="75"/>
        </w:numPr>
        <w:rPr/>
      </w:pPr>
      <w:r>
        <w:rPr>
          <w:b/>
        </w:rPr>
        <w:t>Q4-07</w:t>
      </w:r>
      <w:r>
        <w:rPr/>
        <w:t xml:space="preserve"> Matrice des risques, revue périodique et mise à jour déclenchée par une non-conformité (10.2 e) ou un changement.</w:t>
      </w:r>
    </w:p>
    <w:p>
      <w:pPr>
        <w:pStyle w:val="Heading3"/>
        <w:rPr/>
      </w:pPr>
      <w:r>
        <w:rPr/>
        <w:t>Q5. Opportunités (art. 6.1.1 et 6.1.3)</w:t>
      </w:r>
    </w:p>
    <w:p>
      <w:pPr>
        <w:pStyle w:val="ListParagraph"/>
        <w:numPr>
          <w:ilvl w:val="0"/>
          <w:numId w:val="76"/>
        </w:numPr>
        <w:rPr/>
      </w:pPr>
      <w:r>
        <w:rPr>
          <w:b/>
        </w:rPr>
        <w:t>Q5-01</w:t>
      </w:r>
      <w:r>
        <w:rPr/>
        <w:t xml:space="preserve"> Registre distinct de celui des risques : source (contexte, parties intéressées, capacités et compétences, résultats de mesure, marché, technologies émergentes, réglementation), effet souhaité sur la conformité ou la satisfaction.</w:t>
      </w:r>
    </w:p>
    <w:p>
      <w:pPr>
        <w:pStyle w:val="ListParagraph"/>
        <w:numPr>
          <w:ilvl w:val="0"/>
          <w:numId w:val="77"/>
        </w:numPr>
        <w:rPr/>
      </w:pPr>
      <w:r>
        <w:rPr>
          <w:b/>
        </w:rPr>
        <w:t>Q5-02</w:t>
      </w:r>
      <w:r>
        <w:rPr/>
        <w:t xml:space="preserve"> Analyse et évaluation, décision de suite (retenir, différer, écarter) avec justification.</w:t>
      </w:r>
    </w:p>
    <w:p>
      <w:pPr>
        <w:pStyle w:val="ListParagraph"/>
        <w:numPr>
          <w:ilvl w:val="0"/>
          <w:numId w:val="78"/>
        </w:numPr>
        <w:rPr/>
      </w:pPr>
      <w:r>
        <w:rPr>
          <w:b/>
        </w:rPr>
        <w:t>Q5-03</w:t>
      </w:r>
      <w:r>
        <w:rPr/>
        <w:t xml:space="preserve"> Actions : nouvelles pratiques, nouveaux produits ou services, partenariats, technologies, intégrées aux processus.</w:t>
      </w:r>
    </w:p>
    <w:p>
      <w:pPr>
        <w:pStyle w:val="ListParagraph"/>
        <w:numPr>
          <w:ilvl w:val="0"/>
          <w:numId w:val="79"/>
        </w:numPr>
        <w:rPr/>
      </w:pPr>
      <w:r>
        <w:rPr>
          <w:b/>
        </w:rPr>
        <w:t>Q5-04</w:t>
      </w:r>
      <w:r>
        <w:rPr/>
        <w:t xml:space="preserve"> Évaluation de l'efficacité des actions, résultat alimentant 9.1.3 f et 9.3.2 h.</w:t>
      </w:r>
    </w:p>
    <w:p>
      <w:pPr>
        <w:pStyle w:val="ListParagraph"/>
        <w:numPr>
          <w:ilvl w:val="0"/>
          <w:numId w:val="80"/>
        </w:numPr>
        <w:rPr/>
      </w:pPr>
      <w:r>
        <w:rPr>
          <w:b/>
        </w:rPr>
        <w:t>Q5-05</w:t>
      </w:r>
      <w:r>
        <w:rPr/>
        <w:t xml:space="preserve"> Vue combinée « risques et opportunités » en lecture seule pour le pilotage, sans fusion des données.</w:t>
      </w:r>
    </w:p>
    <w:p>
      <w:pPr>
        <w:pStyle w:val="Heading3"/>
        <w:rPr/>
      </w:pPr>
      <w:r>
        <w:rPr/>
        <w:t>Q6. Objectifs qualité et plans d'actions (art. 6.2)</w:t>
      </w:r>
    </w:p>
    <w:p>
      <w:pPr>
        <w:pStyle w:val="ListParagraph"/>
        <w:numPr>
          <w:ilvl w:val="0"/>
          <w:numId w:val="81"/>
        </w:numPr>
        <w:rPr/>
      </w:pPr>
      <w:r>
        <w:rPr>
          <w:b/>
        </w:rPr>
        <w:t>Q6-01</w:t>
      </w:r>
      <w:r>
        <w:rPr/>
        <w:t xml:space="preserve"> Fiche objectif : niveau (stratégique, tactique, opérationnel), processus ou fonction, cohérence avec la politique, exigences applicables prises en compte, pertinence pour la conformité des produits et services et pour la satisfaction du client.</w:t>
      </w:r>
    </w:p>
    <w:p>
      <w:pPr>
        <w:pStyle w:val="ListParagraph"/>
        <w:numPr>
          <w:ilvl w:val="0"/>
          <w:numId w:val="82"/>
        </w:numPr>
        <w:rPr/>
      </w:pPr>
      <w:r>
        <w:rPr>
          <w:b/>
        </w:rPr>
        <w:t>Q6-02</w:t>
      </w:r>
      <w:r>
        <w:rPr/>
        <w:t xml:space="preserve"> Objectif obligatoirement mesurable : indicateur, valeur de référence, cible, échéance. Contrairement à d'autres normes, aucune exception « si possible » n'existe ici (6.2.1 b).</w:t>
      </w:r>
    </w:p>
    <w:p>
      <w:pPr>
        <w:pStyle w:val="ListParagraph"/>
        <w:numPr>
          <w:ilvl w:val="0"/>
          <w:numId w:val="83"/>
        </w:numPr>
        <w:rPr/>
      </w:pPr>
      <w:r>
        <w:rPr>
          <w:b/>
        </w:rPr>
        <w:t>Q6-03</w:t>
      </w:r>
      <w:r>
        <w:rPr/>
        <w:t xml:space="preserve"> Plan d'actions avec les cinq questions de 6.2.2 en champs obligatoires (ce qui sera fait, ressources, responsable, échéance, mode d'évaluation).</w:t>
      </w:r>
    </w:p>
    <w:p>
      <w:pPr>
        <w:pStyle w:val="ListParagraph"/>
        <w:numPr>
          <w:ilvl w:val="0"/>
          <w:numId w:val="84"/>
        </w:numPr>
        <w:rPr/>
      </w:pPr>
      <w:r>
        <w:rPr>
          <w:b/>
        </w:rPr>
        <w:t>Q6-04</w:t>
      </w:r>
      <w:r>
        <w:rPr/>
        <w:t xml:space="preserve"> Surveillance, mise à jour, communication aux personnes concernées avec accusé de lecture, disponibilité en tant qu'information documentée.</w:t>
      </w:r>
    </w:p>
    <w:p>
      <w:pPr>
        <w:pStyle w:val="ListParagraph"/>
        <w:numPr>
          <w:ilvl w:val="0"/>
          <w:numId w:val="85"/>
        </w:numPr>
        <w:rPr/>
      </w:pPr>
      <w:r>
        <w:rPr>
          <w:b/>
        </w:rPr>
        <w:t>Q6-05</w:t>
      </w:r>
      <w:r>
        <w:rPr/>
        <w:t xml:space="preserve"> Cascade : un objectif stratégique se décline en objectifs de processus avec agrégation de l'avancement.</w:t>
      </w:r>
    </w:p>
    <w:p>
      <w:pPr>
        <w:pStyle w:val="ListParagraph"/>
        <w:numPr>
          <w:ilvl w:val="0"/>
          <w:numId w:val="86"/>
        </w:numPr>
        <w:rPr/>
      </w:pPr>
      <w:r>
        <w:rPr>
          <w:b/>
        </w:rPr>
        <w:t>Q6-06</w:t>
      </w:r>
      <w:r>
        <w:rPr/>
        <w:t xml:space="preserve"> Vues liste, Kanban, Gantt et « mes actions ».</w:t>
      </w:r>
    </w:p>
    <w:p>
      <w:pPr>
        <w:pStyle w:val="Heading3"/>
        <w:rPr/>
      </w:pPr>
      <w:r>
        <w:rPr/>
        <w:t>Q7. Changements (art. 6.3)</w:t>
      </w:r>
    </w:p>
    <w:p>
      <w:pPr>
        <w:pStyle w:val="ListParagraph"/>
        <w:numPr>
          <w:ilvl w:val="0"/>
          <w:numId w:val="87"/>
        </w:numPr>
        <w:rPr/>
      </w:pPr>
      <w:r>
        <w:rPr>
          <w:b/>
        </w:rPr>
        <w:t>Q7-01</w:t>
      </w:r>
      <w:r>
        <w:rPr/>
        <w:t xml:space="preserve"> Fiche changement : origine (enjeu externe ou interne, décision de l'organisme, changement d'un autre système de management), nature, durée.</w:t>
      </w:r>
    </w:p>
    <w:p>
      <w:pPr>
        <w:pStyle w:val="ListParagraph"/>
        <w:numPr>
          <w:ilvl w:val="0"/>
          <w:numId w:val="88"/>
        </w:numPr>
        <w:rPr/>
      </w:pPr>
      <w:r>
        <w:rPr>
          <w:b/>
        </w:rPr>
        <w:t>Q7-02</w:t>
      </w:r>
      <w:r>
        <w:rPr/>
        <w:t xml:space="preserve"> Analyse en sept points (6.3 a à g) en champs obligatoires : objectif et conséquences possibles, impact sur la continuité et le maintien du SMQ, disponibilité des ressources et informations, attribution ou réattribution des responsabilités, communication, suivi de l'efficacité, examen des résultats.</w:t>
      </w:r>
    </w:p>
    <w:p>
      <w:pPr>
        <w:pStyle w:val="ListParagraph"/>
        <w:numPr>
          <w:ilvl w:val="0"/>
          <w:numId w:val="89"/>
        </w:numPr>
        <w:rPr/>
      </w:pPr>
      <w:r>
        <w:rPr>
          <w:b/>
        </w:rPr>
        <w:t>Q7-03</w:t>
      </w:r>
      <w:r>
        <w:rPr/>
        <w:t xml:space="preserve"> Workflow : demande, analyse, approbation, mise en œuvre, revue de résultats ; possibilité de déclarer un changement imprévu après coup avec analyse des conséquences (8.1).</w:t>
      </w:r>
    </w:p>
    <w:p>
      <w:pPr>
        <w:pStyle w:val="ListParagraph"/>
        <w:numPr>
          <w:ilvl w:val="0"/>
          <w:numId w:val="90"/>
        </w:numPr>
        <w:rPr/>
      </w:pPr>
      <w:r>
        <w:rPr>
          <w:b/>
        </w:rPr>
        <w:t>Q7-04</w:t>
      </w:r>
      <w:r>
        <w:rPr/>
        <w:t xml:space="preserve"> Rattachement des changements spécialisés à la même fiche : modification d'exigences de produit ou service (8.2.4), de conception (8.3.6), de production ou prestation (8.5.6), avec leurs autorisations propres.</w:t>
      </w:r>
    </w:p>
    <w:p>
      <w:pPr>
        <w:pStyle w:val="ListParagraph"/>
        <w:numPr>
          <w:ilvl w:val="0"/>
          <w:numId w:val="91"/>
        </w:numPr>
        <w:rPr/>
      </w:pPr>
      <w:r>
        <w:rPr>
          <w:b/>
        </w:rPr>
        <w:t>Q7-05</w:t>
      </w:r>
      <w:r>
        <w:rPr/>
        <w:t xml:space="preserve"> Génération de tâches de mise à jour dans les modules touchés (processus, risques, documents, compétences, communication) ; les changements alimentent la revue de direction et le programme d'audit.</w:t>
      </w:r>
    </w:p>
    <w:p>
      <w:pPr>
        <w:pStyle w:val="Heading3"/>
        <w:rPr/>
      </w:pPr>
      <w:r>
        <w:rPr/>
        <w:t>Q8. Ressources et connaissances (art. 7.1)</w:t>
      </w:r>
    </w:p>
    <w:p>
      <w:pPr>
        <w:pStyle w:val="ListParagraph"/>
        <w:numPr>
          <w:ilvl w:val="0"/>
          <w:numId w:val="92"/>
        </w:numPr>
        <w:rPr/>
      </w:pPr>
      <w:r>
        <w:rPr>
          <w:b/>
        </w:rPr>
        <w:t>Q8-01</w:t>
      </w:r>
      <w:r>
        <w:rPr/>
        <w:t xml:space="preserve"> Besoins en ressources : chaque processus, action et changement déclare ses ressources demandées ; la direction accorde ou refuse dans l'outil. Pour chaque besoin, l'organisme précise ce qui vient de l'interne (capacités et contraintes) et ce qui doit être acquis auprès de prestataires externes.</w:t>
      </w:r>
    </w:p>
    <w:p>
      <w:pPr>
        <w:pStyle w:val="ListParagraph"/>
        <w:numPr>
          <w:ilvl w:val="0"/>
          <w:numId w:val="93"/>
        </w:numPr>
        <w:rPr/>
      </w:pPr>
      <w:r>
        <w:rPr>
          <w:b/>
        </w:rPr>
        <w:t>Q8-02</w:t>
      </w:r>
      <w:r>
        <w:rPr/>
        <w:t xml:space="preserve"> Ressources humaines : effectifs nécessaires par processus, écarts, plan de recrutement ou de renfort (internes ou externes, permanents ou temporaires).</w:t>
      </w:r>
    </w:p>
    <w:p>
      <w:pPr>
        <w:pStyle w:val="ListParagraph"/>
        <w:numPr>
          <w:ilvl w:val="0"/>
          <w:numId w:val="94"/>
        </w:numPr>
        <w:rPr/>
      </w:pPr>
      <w:r>
        <w:rPr>
          <w:b/>
        </w:rPr>
        <w:t>Q8-03</w:t>
      </w:r>
      <w:r>
        <w:rPr/>
        <w:t xml:space="preserve"> Infrastructure : registre des bâtiments, équipements (matériels et logiciels), moyens de transport, outils de communication ; planning de maintenance préventive, demandes d'intervention, historique.</w:t>
      </w:r>
    </w:p>
    <w:p>
      <w:pPr>
        <w:pStyle w:val="ListParagraph"/>
        <w:numPr>
          <w:ilvl w:val="0"/>
          <w:numId w:val="95"/>
        </w:numPr>
        <w:rPr/>
      </w:pPr>
      <w:r>
        <w:rPr>
          <w:b/>
        </w:rPr>
        <w:t>Q8-04</w:t>
      </w:r>
      <w:r>
        <w:rPr/>
        <w:t xml:space="preserve"> Environnement de travail : suivi des facteurs sociaux, psychologiques et physiques (température, bruit, lumière, hygiène, charge, climat relationnel) par enquêtes courtes et relevés, avec actions associées.</w:t>
      </w:r>
    </w:p>
    <w:p>
      <w:pPr>
        <w:pStyle w:val="ListParagraph"/>
        <w:numPr>
          <w:ilvl w:val="0"/>
          <w:numId w:val="96"/>
        </w:numPr>
        <w:rPr/>
      </w:pPr>
      <w:r>
        <w:rPr>
          <w:b/>
        </w:rPr>
        <w:t>Q8-05</w:t>
      </w:r>
      <w:r>
        <w:rPr/>
        <w:t xml:space="preserve"> Équipements de surveillance et de mesure : registre avec identification (étiquette à code QR), adéquation à l'usage, fréquence d'étalonnage ou de vérification, étalon de référence (ou référence documentée en l'absence d'étalon reconnu), protection contre les réglages ou dommages.</w:t>
      </w:r>
    </w:p>
    <w:p>
      <w:pPr>
        <w:pStyle w:val="ListParagraph"/>
        <w:numPr>
          <w:ilvl w:val="0"/>
          <w:numId w:val="97"/>
        </w:numPr>
        <w:rPr/>
      </w:pPr>
      <w:r>
        <w:rPr>
          <w:b/>
        </w:rPr>
        <w:t>Q8-06</w:t>
      </w:r>
      <w:r>
        <w:rPr/>
        <w:t xml:space="preserve"> Équipement hors tolérance ou inadapté : liste automatique des mesures effectuées depuis le dernier étalonnage valide, analyse de l'impact sur la validité des résultats, actions (7.1.5.2).</w:t>
      </w:r>
    </w:p>
    <w:p>
      <w:pPr>
        <w:pStyle w:val="ListParagraph"/>
        <w:numPr>
          <w:ilvl w:val="0"/>
          <w:numId w:val="98"/>
        </w:numPr>
        <w:rPr/>
      </w:pPr>
      <w:r>
        <w:rPr>
          <w:b/>
        </w:rPr>
        <w:t>Q8-07</w:t>
      </w:r>
      <w:r>
        <w:rPr/>
        <w:t xml:space="preserve"> Base de connaissances organisationnelles : sources (expérience des personnes, formation, méthodes et processus, documents, systèmes numériques), retours d'expérience, partage, mise à jour périodique ; alerte « savoir critique détenu par une seule personne » avant un départ.</w:t>
      </w:r>
    </w:p>
    <w:p>
      <w:pPr>
        <w:pStyle w:val="Heading3"/>
        <w:rPr/>
      </w:pPr>
      <w:r>
        <w:rPr/>
        <w:t>Q9. Compétences et sensibilisation (art. 7.2 et 7.3)</w:t>
      </w:r>
    </w:p>
    <w:p>
      <w:pPr>
        <w:pStyle w:val="ListParagraph"/>
        <w:numPr>
          <w:ilvl w:val="0"/>
          <w:numId w:val="99"/>
        </w:numPr>
        <w:rPr/>
      </w:pPr>
      <w:r>
        <w:rPr>
          <w:b/>
        </w:rPr>
        <w:t>Q9-01</w:t>
      </w:r>
      <w:r>
        <w:rPr/>
        <w:t xml:space="preserve"> Matrice de compétences : postes, compétences requises pour toute personne dont le travail influe sur les performances du SMQ (y compris sous-traitants), titulaire, niveau, preuve (formation initiale, professionnelle, expérience).</w:t>
      </w:r>
    </w:p>
    <w:p>
      <w:pPr>
        <w:pStyle w:val="ListParagraph"/>
        <w:numPr>
          <w:ilvl w:val="0"/>
          <w:numId w:val="100"/>
        </w:numPr>
        <w:rPr/>
      </w:pPr>
      <w:r>
        <w:rPr>
          <w:b/>
        </w:rPr>
        <w:t>Q9-02</w:t>
      </w:r>
      <w:r>
        <w:rPr/>
        <w:t xml:space="preserve"> Écarts transformés en besoins de formation, plan de formation annuel, évaluation de l'efficacité des actions menées (formation, accompagnement, réaffectation, recrutement).</w:t>
      </w:r>
    </w:p>
    <w:p>
      <w:pPr>
        <w:pStyle w:val="ListParagraph"/>
        <w:numPr>
          <w:ilvl w:val="0"/>
          <w:numId w:val="101"/>
        </w:numPr>
        <w:rPr/>
      </w:pPr>
      <w:r>
        <w:rPr>
          <w:b/>
        </w:rPr>
        <w:t>Q9-03</w:t>
      </w:r>
      <w:r>
        <w:rPr/>
        <w:t xml:space="preserve"> Campagnes de sensibilisation sur les cinq points de 7.3 : politique qualité, contribution à l'efficacité du SMQ, répercussions d'une non-satisfaction des exigences, objectifs qualité pertinents, culture de la qualité et comportement éthique.</w:t>
      </w:r>
    </w:p>
    <w:p>
      <w:pPr>
        <w:pStyle w:val="ListParagraph"/>
        <w:numPr>
          <w:ilvl w:val="0"/>
          <w:numId w:val="102"/>
        </w:numPr>
        <w:rPr/>
      </w:pPr>
      <w:r>
        <w:rPr>
          <w:b/>
        </w:rPr>
        <w:t>Q9-04</w:t>
      </w:r>
      <w:r>
        <w:rPr/>
        <w:t xml:space="preserve"> Supports courts (fiches, vidéos, quiz), causeries rapides avec émargement par QR code, taux de sensibilisation par équipe.</w:t>
      </w:r>
    </w:p>
    <w:p>
      <w:pPr>
        <w:pStyle w:val="ListParagraph"/>
        <w:numPr>
          <w:ilvl w:val="0"/>
          <w:numId w:val="103"/>
        </w:numPr>
        <w:rPr/>
      </w:pPr>
      <w:r>
        <w:rPr>
          <w:b/>
        </w:rPr>
        <w:t>Q9-05</w:t>
      </w:r>
      <w:r>
        <w:rPr/>
        <w:t xml:space="preserve"> Compétences des auditeurs internes reliées à Q17.</w:t>
      </w:r>
    </w:p>
    <w:p>
      <w:pPr>
        <w:pStyle w:val="Heading3"/>
        <w:rPr/>
      </w:pPr>
      <w:r>
        <w:rPr/>
        <w:t>Q10. Communication (art. 7.4)</w:t>
      </w:r>
    </w:p>
    <w:p>
      <w:pPr>
        <w:pStyle w:val="ListParagraph"/>
        <w:numPr>
          <w:ilvl w:val="0"/>
          <w:numId w:val="104"/>
        </w:numPr>
        <w:rPr/>
      </w:pPr>
      <w:r>
        <w:rPr>
          <w:b/>
        </w:rPr>
        <w:t>Q10-01</w:t>
      </w:r>
      <w:r>
        <w:rPr/>
        <w:t xml:space="preserve"> Plan de communication : sur quoi, quand, avec qui, comment, et qui communique (les cinq questions de 7.4), distinction interne et externe.</w:t>
      </w:r>
    </w:p>
    <w:p>
      <w:pPr>
        <w:pStyle w:val="ListParagraph"/>
        <w:numPr>
          <w:ilvl w:val="0"/>
          <w:numId w:val="105"/>
        </w:numPr>
        <w:rPr/>
      </w:pPr>
      <w:r>
        <w:rPr>
          <w:b/>
        </w:rPr>
        <w:t>Q10-02</w:t>
      </w:r>
      <w:r>
        <w:rPr/>
        <w:t xml:space="preserve"> Modèles de communication, circuit de validation pour les messages externes, journal des diffusions.</w:t>
      </w:r>
    </w:p>
    <w:p>
      <w:pPr>
        <w:pStyle w:val="ListParagraph"/>
        <w:numPr>
          <w:ilvl w:val="0"/>
          <w:numId w:val="106"/>
        </w:numPr>
        <w:rPr/>
      </w:pPr>
      <w:r>
        <w:rPr>
          <w:b/>
        </w:rPr>
        <w:t>Q10-03</w:t>
      </w:r>
      <w:r>
        <w:rPr/>
        <w:t xml:space="preserve"> Évaluation de l'efficacité des communications planifiées, en lien avec les risques et opportunités concernés (A.7.4).</w:t>
      </w:r>
    </w:p>
    <w:p>
      <w:pPr>
        <w:pStyle w:val="ListParagraph"/>
        <w:numPr>
          <w:ilvl w:val="0"/>
          <w:numId w:val="107"/>
        </w:numPr>
        <w:rPr/>
      </w:pPr>
      <w:r>
        <w:rPr>
          <w:b/>
        </w:rPr>
        <w:t>Q10-04</w:t>
      </w:r>
      <w:r>
        <w:rPr/>
        <w:t xml:space="preserve"> Annonces internes des changements du SMQ et boîte à idées reliée à Q19.</w:t>
      </w:r>
    </w:p>
    <w:p>
      <w:pPr>
        <w:pStyle w:val="Heading3"/>
        <w:rPr/>
      </w:pPr>
      <w:r>
        <w:rPr/>
        <w:t>Q11. Gestion documentaire (art. 7.5)</w:t>
      </w:r>
    </w:p>
    <w:p>
      <w:pPr>
        <w:pStyle w:val="ListParagraph"/>
        <w:numPr>
          <w:ilvl w:val="0"/>
          <w:numId w:val="108"/>
        </w:numPr>
        <w:rPr/>
      </w:pPr>
      <w:r>
        <w:rPr>
          <w:b/>
        </w:rPr>
        <w:t>Q11-01</w:t>
      </w:r>
      <w:r>
        <w:rPr/>
        <w:t xml:space="preserve"> Types de contenu : document (« à tenir disponible ») ou enregistrement (« conservé comme preuve ») ; type obligatoire.</w:t>
      </w:r>
    </w:p>
    <w:p>
      <w:pPr>
        <w:pStyle w:val="ListParagraph"/>
        <w:numPr>
          <w:ilvl w:val="0"/>
          <w:numId w:val="109"/>
        </w:numPr>
        <w:rPr/>
      </w:pPr>
      <w:r>
        <w:rPr>
          <w:b/>
        </w:rPr>
        <w:t>Q11-02</w:t>
      </w:r>
      <w:r>
        <w:rPr/>
        <w:t xml:space="preserve"> Métadonnées de 7.5.2 : titre, date, auteur, référence, langue, format, support ; circuit de revue et d'approbation.</w:t>
      </w:r>
    </w:p>
    <w:p>
      <w:pPr>
        <w:pStyle w:val="ListParagraph"/>
        <w:numPr>
          <w:ilvl w:val="0"/>
          <w:numId w:val="110"/>
        </w:numPr>
        <w:rPr/>
      </w:pPr>
      <w:r>
        <w:rPr>
          <w:b/>
        </w:rPr>
        <w:t>Q11-03</w:t>
      </w:r>
      <w:r>
        <w:rPr/>
        <w:t xml:space="preserve"> Maîtrise (7.5.3) : droits de consultation ou de modification, versions, stockage et lisibilité, conservation et élimination avec durées par type, documents d'origine externe identifiés.</w:t>
      </w:r>
    </w:p>
    <w:p>
      <w:pPr>
        <w:pStyle w:val="ListParagraph"/>
        <w:numPr>
          <w:ilvl w:val="0"/>
          <w:numId w:val="111"/>
        </w:numPr>
        <w:rPr/>
      </w:pPr>
      <w:r>
        <w:rPr>
          <w:b/>
        </w:rPr>
        <w:t>Q11-04</w:t>
      </w:r>
      <w:r>
        <w:rPr/>
        <w:t xml:space="preserve"> Protection des enregistrements contre toute altération ou suppression non voulue ou non autorisée : verrouillage après clôture, horodatage, empreinte numérique, correction par nouvelle version tracée uniquement.</w:t>
      </w:r>
    </w:p>
    <w:p>
      <w:pPr>
        <w:pStyle w:val="ListParagraph"/>
        <w:numPr>
          <w:ilvl w:val="0"/>
          <w:numId w:val="112"/>
        </w:numPr>
        <w:rPr/>
      </w:pPr>
      <w:r>
        <w:rPr>
          <w:b/>
        </w:rPr>
        <w:t>Q11-05</w:t>
      </w:r>
      <w:r>
        <w:rPr/>
        <w:t xml:space="preserve"> Documents obsolètes conservés : marquage visible et blocage de la diffusion pour prévenir leur usage involontaire.</w:t>
      </w:r>
    </w:p>
    <w:p>
      <w:pPr>
        <w:pStyle w:val="ListParagraph"/>
        <w:numPr>
          <w:ilvl w:val="0"/>
          <w:numId w:val="113"/>
        </w:numPr>
        <w:rPr/>
      </w:pPr>
      <w:r>
        <w:rPr>
          <w:b/>
        </w:rPr>
        <w:t>Q11-06</w:t>
      </w:r>
      <w:r>
        <w:rPr/>
        <w:t xml:space="preserve"> Recherche plein texte, filtres par article de la norme, processus, site, statut ; modèles prêts à l'emploi sans imposer de manuel qualité.</w:t>
      </w:r>
    </w:p>
    <w:p>
      <w:pPr>
        <w:pStyle w:val="ListParagraph"/>
        <w:numPr>
          <w:ilvl w:val="0"/>
          <w:numId w:val="114"/>
        </w:numPr>
        <w:rPr/>
      </w:pPr>
      <w:r>
        <w:rPr>
          <w:b/>
        </w:rPr>
        <w:t>Q11-07</w:t>
      </w:r>
      <w:r>
        <w:rPr/>
        <w:t xml:space="preserve"> Dossier de conformité à la norme : informations documentées exigées par article, avec leur état (présent, périmé, manquant).</w:t>
      </w:r>
    </w:p>
    <w:p>
      <w:pPr>
        <w:pStyle w:val="Heading3"/>
        <w:rPr/>
      </w:pPr>
      <w:r>
        <w:rPr/>
        <w:t>Q12. Relation client et exigences (art. 8.2)</w:t>
      </w:r>
    </w:p>
    <w:p>
      <w:pPr>
        <w:pStyle w:val="ListParagraph"/>
        <w:numPr>
          <w:ilvl w:val="0"/>
          <w:numId w:val="115"/>
        </w:numPr>
        <w:rPr/>
      </w:pPr>
      <w:r>
        <w:rPr>
          <w:b/>
        </w:rPr>
        <w:t>Q12-01</w:t>
      </w:r>
      <w:r>
        <w:rPr/>
        <w:t xml:space="preserve"> Registre des communications clients : informations fournies sur les produits et services, consultations, commandes et contrats avec leurs avenants, retours d'information, biens du client, informations d'urgence et sur les perturbations de fourniture.</w:t>
      </w:r>
    </w:p>
    <w:p>
      <w:pPr>
        <w:pStyle w:val="ListParagraph"/>
        <w:numPr>
          <w:ilvl w:val="0"/>
          <w:numId w:val="116"/>
        </w:numPr>
        <w:rPr/>
      </w:pPr>
      <w:r>
        <w:rPr>
          <w:b/>
        </w:rPr>
        <w:t>Q12-02</w:t>
      </w:r>
      <w:r>
        <w:rPr/>
        <w:t xml:space="preserve"> Réclamations : saisie en moins de 60 secondes sur tous canaux, qualification, responsable, délai, réponse au client, clôture ; une réclamation peut ouvrir une non-conformité (source indiquée en 10.2).</w:t>
      </w:r>
    </w:p>
    <w:p>
      <w:pPr>
        <w:pStyle w:val="ListParagraph"/>
        <w:numPr>
          <w:ilvl w:val="0"/>
          <w:numId w:val="117"/>
        </w:numPr>
        <w:rPr/>
      </w:pPr>
      <w:r>
        <w:rPr>
          <w:b/>
        </w:rPr>
        <w:t>Q12-03</w:t>
      </w:r>
      <w:r>
        <w:rPr/>
        <w:t xml:space="preserve"> Catalogue d'exigences par produit ou service : exigences légales et réglementaires applicables, exigences que l'organisme juge nécessaires, exigences du client.</w:t>
      </w:r>
    </w:p>
    <w:p>
      <w:pPr>
        <w:pStyle w:val="ListParagraph"/>
        <w:numPr>
          <w:ilvl w:val="0"/>
          <w:numId w:val="118"/>
        </w:numPr>
        <w:rPr/>
      </w:pPr>
      <w:r>
        <w:rPr>
          <w:b/>
        </w:rPr>
        <w:t>Q12-04</w:t>
      </w:r>
      <w:r>
        <w:rPr/>
        <w:t xml:space="preserve"> Revue avant engagement (8.2.3) : liste de contrôle des cinq points (exigences du client, exigences non énoncées mais nécessaires à l'usage prévu, exigences de l'organisme, exigences légales, écarts avec une demande antérieure) ; engagement bloqué tant que les écarts ne sont pas résolus.</w:t>
      </w:r>
    </w:p>
    <w:p>
      <w:pPr>
        <w:pStyle w:val="ListParagraph"/>
        <w:numPr>
          <w:ilvl w:val="0"/>
          <w:numId w:val="119"/>
        </w:numPr>
        <w:rPr/>
      </w:pPr>
      <w:r>
        <w:rPr>
          <w:b/>
        </w:rPr>
        <w:t>Q12-05</w:t>
      </w:r>
      <w:r>
        <w:rPr/>
        <w:t xml:space="preserve"> Cas sans énoncé écrit du client : confirmation des exigences enregistrée avant acceptation ; cas de vente en ligne : revue du catalogue ou du site plutôt que de chaque commande.</w:t>
      </w:r>
    </w:p>
    <w:p>
      <w:pPr>
        <w:pStyle w:val="ListParagraph"/>
        <w:numPr>
          <w:ilvl w:val="0"/>
          <w:numId w:val="120"/>
        </w:numPr>
        <w:rPr/>
      </w:pPr>
      <w:r>
        <w:rPr>
          <w:b/>
        </w:rPr>
        <w:t>Q12-06</w:t>
      </w:r>
      <w:r>
        <w:rPr/>
        <w:t xml:space="preserve"> Modifications d'exigences (8.2.4) : avenant, mise à jour des documents, notification des parties concernées avec accusé de réception.</w:t>
      </w:r>
    </w:p>
    <w:p>
      <w:pPr>
        <w:pStyle w:val="Heading3"/>
        <w:rPr/>
      </w:pPr>
      <w:r>
        <w:rPr/>
        <w:t>Q13. Conception et développement (art. 8.3)</w:t>
      </w:r>
    </w:p>
    <w:p>
      <w:pPr>
        <w:pStyle w:val="Normal"/>
        <w:rPr/>
      </w:pPr>
      <w:r>
        <w:rPr/>
        <w:t>Module activable : un organisme n'ayant pas de conception le désactive avec motif (voir 4.3).</w:t>
      </w:r>
    </w:p>
    <w:p>
      <w:pPr>
        <w:pStyle w:val="ListParagraph"/>
        <w:numPr>
          <w:ilvl w:val="0"/>
          <w:numId w:val="121"/>
        </w:numPr>
        <w:rPr/>
      </w:pPr>
      <w:r>
        <w:rPr>
          <w:b/>
        </w:rPr>
        <w:t>Q13-01</w:t>
      </w:r>
      <w:r>
        <w:rPr/>
        <w:t xml:space="preserve"> Projet de conception : planification selon les dix points de 8.3.2 (nature, durée et complexité ; étapes et revues ; vérification et validation ; responsabilités ; ressources ; interfaces ; implication des clients ; fourniture ultérieure ; niveau de maîtrise attendu ; preuves).</w:t>
      </w:r>
    </w:p>
    <w:p>
      <w:pPr>
        <w:pStyle w:val="ListParagraph"/>
        <w:numPr>
          <w:ilvl w:val="0"/>
          <w:numId w:val="122"/>
        </w:numPr>
        <w:rPr/>
      </w:pPr>
      <w:r>
        <w:rPr>
          <w:b/>
        </w:rPr>
        <w:t>Q13-02</w:t>
      </w:r>
      <w:r>
        <w:rPr/>
        <w:t xml:space="preserve"> Éléments d'entrée (8.3.3) : exigences fonctionnelles et de performance, enseignements de projets antérieurs, exigences légales, normes ou pratiques adoptées, conséquences potentielles d'une défaillance ; contrôle « complets, non ambigus, divergences résolues ».</w:t>
      </w:r>
    </w:p>
    <w:p>
      <w:pPr>
        <w:pStyle w:val="ListParagraph"/>
        <w:numPr>
          <w:ilvl w:val="0"/>
          <w:numId w:val="123"/>
        </w:numPr>
        <w:rPr/>
      </w:pPr>
      <w:r>
        <w:rPr>
          <w:b/>
        </w:rPr>
        <w:t>Q13-03</w:t>
      </w:r>
      <w:r>
        <w:rPr/>
        <w:t xml:space="preserve"> Maîtrise (8.3.4) : résultats attendus définis, revues, vérifications, validations, traitement des problèmes relevés, preuves. Approche itérative possible ; les entrées peuvent évoluer avec historique.</w:t>
      </w:r>
    </w:p>
    <w:p>
      <w:pPr>
        <w:pStyle w:val="ListParagraph"/>
        <w:numPr>
          <w:ilvl w:val="0"/>
          <w:numId w:val="124"/>
        </w:numPr>
        <w:rPr/>
      </w:pPr>
      <w:r>
        <w:rPr>
          <w:b/>
        </w:rPr>
        <w:t>Q13-04</w:t>
      </w:r>
      <w:r>
        <w:rPr/>
        <w:t xml:space="preserve"> Éléments de sortie (8.3.5) : conformes aux entrées, adéquats pour la suite, avec critères d'acceptation et exigences de surveillance, caractéristiques essentielles à l'usage et à la sécurité.</w:t>
      </w:r>
    </w:p>
    <w:p>
      <w:pPr>
        <w:pStyle w:val="ListParagraph"/>
        <w:numPr>
          <w:ilvl w:val="0"/>
          <w:numId w:val="125"/>
        </w:numPr>
        <w:rPr/>
      </w:pPr>
      <w:r>
        <w:rPr>
          <w:b/>
        </w:rPr>
        <w:t>Q13-05</w:t>
      </w:r>
      <w:r>
        <w:rPr/>
        <w:t xml:space="preserve"> Modifications (8.3.6) : demande, revue, autorisation, mesures pour éviter l'impact négatif ; version précédente conservée.</w:t>
      </w:r>
    </w:p>
    <w:p>
      <w:pPr>
        <w:pStyle w:val="ListParagraph"/>
        <w:numPr>
          <w:ilvl w:val="0"/>
          <w:numId w:val="126"/>
        </w:numPr>
        <w:rPr/>
      </w:pPr>
      <w:r>
        <w:rPr>
          <w:b/>
        </w:rPr>
        <w:t>Q13-06</w:t>
      </w:r>
      <w:r>
        <w:rPr/>
        <w:t xml:space="preserve"> Matrice de traçabilité entrée → sortie → vérification → validation, et jalons de passage d'étape avec décision de poursuite.</w:t>
      </w:r>
    </w:p>
    <w:p>
      <w:pPr>
        <w:pStyle w:val="Heading3"/>
        <w:rPr/>
      </w:pPr>
      <w:r>
        <w:rPr/>
        <w:t>Q14. Prestataires externes (art. 8.4)</w:t>
      </w:r>
    </w:p>
    <w:p>
      <w:pPr>
        <w:pStyle w:val="ListParagraph"/>
        <w:numPr>
          <w:ilvl w:val="0"/>
          <w:numId w:val="127"/>
        </w:numPr>
        <w:rPr/>
      </w:pPr>
      <w:r>
        <w:rPr>
          <w:b/>
        </w:rPr>
        <w:t>Q14-01</w:t>
      </w:r>
      <w:r>
        <w:rPr/>
        <w:t xml:space="preserve"> Fiche prestataire : type de prise en charge (produit ou service intégré aux propres produits, livré directement au client pour le compte de l'organisme, ou processus entier ou partiel externalisé), criticité, contact, contrats.</w:t>
      </w:r>
    </w:p>
    <w:p>
      <w:pPr>
        <w:pStyle w:val="ListParagraph"/>
        <w:numPr>
          <w:ilvl w:val="0"/>
          <w:numId w:val="128"/>
        </w:numPr>
        <w:rPr/>
      </w:pPr>
      <w:r>
        <w:rPr>
          <w:b/>
        </w:rPr>
        <w:t>Q14-02</w:t>
      </w:r>
      <w:r>
        <w:rPr/>
        <w:t xml:space="preserve"> Critères d'évaluation, de sélection, de surveillance des performances et de réévaluation, définis par l'organisme et appliqués avec une note ; liste des prestataires approuvés avec statut (approuvé, sous surveillance, suspendu).</w:t>
      </w:r>
    </w:p>
    <w:p>
      <w:pPr>
        <w:pStyle w:val="ListParagraph"/>
        <w:numPr>
          <w:ilvl w:val="0"/>
          <w:numId w:val="129"/>
        </w:numPr>
        <w:rPr/>
      </w:pPr>
      <w:r>
        <w:rPr>
          <w:b/>
        </w:rPr>
        <w:t>Q14-03</w:t>
      </w:r>
      <w:r>
        <w:rPr/>
        <w:t xml:space="preserve"> Type et étendue de la maîtrise (8.4.2) : processus rattaché au SMQ, maîtrise choisie sur le prestataire et sur l'élément fourni, impact potentiel sur la conformité et la satisfaction, efficacité de la maîtrise exercée par le prestataire, vérification prévue (réception, audit, inspection).</w:t>
      </w:r>
    </w:p>
    <w:p>
      <w:pPr>
        <w:pStyle w:val="ListParagraph"/>
        <w:numPr>
          <w:ilvl w:val="0"/>
          <w:numId w:val="130"/>
        </w:numPr>
        <w:rPr/>
      </w:pPr>
      <w:r>
        <w:rPr>
          <w:b/>
        </w:rPr>
        <w:t>Q14-04</w:t>
      </w:r>
      <w:r>
        <w:rPr/>
        <w:t xml:space="preserve"> Exigences à communiquer (8.4.3) : le modèle de commande contient les champs obligatoires (processus, produits et services, approbation des produits, méthodes, équipements et libération, compétences et qualifications, interactions, maîtrise et surveillance, vérifications chez le prestataire) ; l'adéquation est validée avant envoi.</w:t>
      </w:r>
    </w:p>
    <w:p>
      <w:pPr>
        <w:pStyle w:val="ListParagraph"/>
        <w:numPr>
          <w:ilvl w:val="0"/>
          <w:numId w:val="131"/>
        </w:numPr>
        <w:rPr/>
      </w:pPr>
      <w:r>
        <w:rPr>
          <w:b/>
        </w:rPr>
        <w:t>Q14-05</w:t>
      </w:r>
      <w:r>
        <w:rPr/>
        <w:t xml:space="preserve"> Suivi des performances (délais, conformité, réclamations, audits) et alimentation de l'analyse 9.1.3 g et de la revue 9.3.2 d 7.</w:t>
      </w:r>
    </w:p>
    <w:p>
      <w:pPr>
        <w:pStyle w:val="ListParagraph"/>
        <w:numPr>
          <w:ilvl w:val="0"/>
          <w:numId w:val="132"/>
        </w:numPr>
        <w:rPr/>
      </w:pPr>
      <w:r>
        <w:rPr>
          <w:b/>
        </w:rPr>
        <w:t>Q14-06</w:t>
      </w:r>
      <w:r>
        <w:rPr/>
        <w:t xml:space="preserve"> Rappel : la responsabilité de la conformité reste à l'organisme, même lorsque la fourniture est externalisée (A.8.4).</w:t>
      </w:r>
    </w:p>
    <w:p>
      <w:pPr>
        <w:pStyle w:val="Heading3"/>
        <w:rPr/>
      </w:pPr>
      <w:r>
        <w:rPr/>
        <w:t>Q15. Production, prestation, libération et sorties non conformes (art. 8.1, 8.5 à 8.7)</w:t>
      </w:r>
    </w:p>
    <w:p>
      <w:pPr>
        <w:pStyle w:val="ListParagraph"/>
        <w:numPr>
          <w:ilvl w:val="0"/>
          <w:numId w:val="133"/>
        </w:numPr>
        <w:rPr/>
      </w:pPr>
      <w:r>
        <w:rPr>
          <w:b/>
        </w:rPr>
        <w:t>Q15-01</w:t>
      </w:r>
      <w:r>
        <w:rPr/>
        <w:t xml:space="preserve"> Planification opérationnelle (8.1) : critères d'acceptation des produits et services, critères des processus, ressources nécessaires par type d'offre ; gabarit de dossier d'exécution (ordre de travail, intervention, lot).</w:t>
      </w:r>
    </w:p>
    <w:p>
      <w:pPr>
        <w:pStyle w:val="ListParagraph"/>
        <w:numPr>
          <w:ilvl w:val="0"/>
          <w:numId w:val="134"/>
        </w:numPr>
        <w:rPr/>
      </w:pPr>
      <w:r>
        <w:rPr>
          <w:b/>
        </w:rPr>
        <w:t>Q15-02</w:t>
      </w:r>
      <w:r>
        <w:rPr/>
        <w:t xml:space="preserve"> Conditions maîtrisées (8.5.1) : documents définissant caractéristiques, activités, résultats ; équipements de mesure ; points de contrôle ; infrastructure et environnement ; personnes compétentes et qualifiées ; validation des procédés dont le résultat n'est vérifiable qu'après coup, avec revalidation périodique ; mesures de prévention de l'erreur humaine (listes de contrôle, doubles vérifications).</w:t>
      </w:r>
    </w:p>
    <w:p>
      <w:pPr>
        <w:pStyle w:val="ListParagraph"/>
        <w:numPr>
          <w:ilvl w:val="0"/>
          <w:numId w:val="135"/>
        </w:numPr>
        <w:rPr/>
      </w:pPr>
      <w:r>
        <w:rPr>
          <w:b/>
        </w:rPr>
        <w:t>Q15-03</w:t>
      </w:r>
      <w:r>
        <w:rPr/>
        <w:t xml:space="preserve"> Identification et traçabilité (8.5.2) : identification des sorties, état par rapport aux contrôles, identifiant unique (lot, numéro de série) quand la traçabilité est requise, historique reconstituable.</w:t>
      </w:r>
    </w:p>
    <w:p>
      <w:pPr>
        <w:pStyle w:val="ListParagraph"/>
        <w:numPr>
          <w:ilvl w:val="0"/>
          <w:numId w:val="136"/>
        </w:numPr>
        <w:rPr/>
      </w:pPr>
      <w:r>
        <w:rPr>
          <w:b/>
        </w:rPr>
        <w:t>Q15-04</w:t>
      </w:r>
      <w:r>
        <w:rPr/>
        <w:t xml:space="preserve"> Biens du client ou de prestataires (8.5.3) : inventaire, vérification, protection ; notification immédiate au propriétaire en cas de perte, de dommage ou d'inadéquation, avec preuve (y compris les données personnelles).</w:t>
      </w:r>
    </w:p>
    <w:p>
      <w:pPr>
        <w:pStyle w:val="ListParagraph"/>
        <w:numPr>
          <w:ilvl w:val="0"/>
          <w:numId w:val="137"/>
        </w:numPr>
        <w:rPr/>
      </w:pPr>
      <w:r>
        <w:rPr>
          <w:b/>
        </w:rPr>
        <w:t>Q15-05</w:t>
      </w:r>
      <w:r>
        <w:rPr/>
        <w:t xml:space="preserve"> Préservation (8.5.4) : instructions d'identification, manutention, conditionnement, stockage, transport.</w:t>
      </w:r>
    </w:p>
    <w:p>
      <w:pPr>
        <w:pStyle w:val="ListParagraph"/>
        <w:numPr>
          <w:ilvl w:val="0"/>
          <w:numId w:val="138"/>
        </w:numPr>
        <w:rPr/>
      </w:pPr>
      <w:r>
        <w:rPr>
          <w:b/>
        </w:rPr>
        <w:t>Q15-06</w:t>
      </w:r>
      <w:r>
        <w:rPr/>
        <w:t xml:space="preserve"> Activités après livraison (8.5.5) : garantie, maintenance, recyclage ou élimination ; l'étendue est décidée en tenant compte des exigences légales, des conséquences indésirables potentielles, de la durée de vie, des exigences et des retours des clients.</w:t>
      </w:r>
    </w:p>
    <w:p>
      <w:pPr>
        <w:pStyle w:val="ListParagraph"/>
        <w:numPr>
          <w:ilvl w:val="0"/>
          <w:numId w:val="139"/>
        </w:numPr>
        <w:rPr/>
      </w:pPr>
      <w:r>
        <w:rPr>
          <w:b/>
        </w:rPr>
        <w:t>Q15-07</w:t>
      </w:r>
      <w:r>
        <w:rPr/>
        <w:t xml:space="preserve"> Modifications de production ou de prestation (8.5.6) : revue, autorisation, actions, preuves, reliées à Q7.</w:t>
      </w:r>
    </w:p>
    <w:p>
      <w:pPr>
        <w:pStyle w:val="ListParagraph"/>
        <w:numPr>
          <w:ilvl w:val="0"/>
          <w:numId w:val="140"/>
        </w:numPr>
        <w:rPr/>
      </w:pPr>
      <w:r>
        <w:rPr>
          <w:b/>
        </w:rPr>
        <w:t>Q15-08</w:t>
      </w:r>
      <w:r>
        <w:rPr/>
        <w:t xml:space="preserve"> Libération (8.6) : plan de contrôle, points d'arrêt, preuve de conformité aux critères d'acceptation, identité de la personne autorisante ; la libération est bloquée tant que les dispositions ne sont pas satisfaites, sauf dérogation approuvée par l'autorité compétente et, le cas échéant, le client.</w:t>
      </w:r>
    </w:p>
    <w:p>
      <w:pPr>
        <w:pStyle w:val="ListParagraph"/>
        <w:numPr>
          <w:ilvl w:val="0"/>
          <w:numId w:val="141"/>
        </w:numPr>
        <w:rPr/>
      </w:pPr>
      <w:r>
        <w:rPr>
          <w:b/>
        </w:rPr>
        <w:t>Q15-09</w:t>
      </w:r>
      <w:r>
        <w:rPr/>
        <w:t xml:space="preserve"> Sorties non conformes (8.7) : déclaration depuis le terrain, identification et isolement pour empêcher l'usage ou la livraison involontaires ; traitement par correction, isolement, confinement, retour ou suspension de fourniture, information du client, dérogation d'acceptation ; revérification après correction ; couvre aussi les cas détectés après livraison.</w:t>
      </w:r>
    </w:p>
    <w:p>
      <w:pPr>
        <w:pStyle w:val="ListParagraph"/>
        <w:numPr>
          <w:ilvl w:val="0"/>
          <w:numId w:val="142"/>
        </w:numPr>
        <w:rPr/>
      </w:pPr>
      <w:r>
        <w:rPr>
          <w:b/>
        </w:rPr>
        <w:t>Q15-10</w:t>
      </w:r>
      <w:r>
        <w:rPr/>
        <w:t xml:space="preserve"> Preuves (8.7.2) : nature de la non-conformité, actions, dérogations, autorité décisionnaire, toutes tracées.</w:t>
      </w:r>
    </w:p>
    <w:p>
      <w:pPr>
        <w:pStyle w:val="Heading3"/>
        <w:rPr/>
      </w:pPr>
      <w:r>
        <w:rPr/>
        <w:t>Q16. Satisfaction du client, surveillance et analyse (art. 9.1)</w:t>
      </w:r>
    </w:p>
    <w:p>
      <w:pPr>
        <w:pStyle w:val="ListParagraph"/>
        <w:numPr>
          <w:ilvl w:val="0"/>
          <w:numId w:val="143"/>
        </w:numPr>
        <w:rPr/>
      </w:pPr>
      <w:r>
        <w:rPr>
          <w:b/>
        </w:rPr>
        <w:t>Q16-01</w:t>
      </w:r>
      <w:r>
        <w:rPr/>
        <w:t xml:space="preserve"> Définition de ce qui est surveillé et mesuré, méthodes, moments de mesure et d'analyse ; indicateurs par processus et indicateurs du SMQ, avec seuils et responsables.</w:t>
      </w:r>
    </w:p>
    <w:p>
      <w:pPr>
        <w:pStyle w:val="ListParagraph"/>
        <w:numPr>
          <w:ilvl w:val="0"/>
          <w:numId w:val="144"/>
        </w:numPr>
        <w:rPr/>
      </w:pPr>
      <w:r>
        <w:rPr>
          <w:b/>
        </w:rPr>
        <w:t>Q16-02</w:t>
      </w:r>
      <w:r>
        <w:rPr/>
        <w:t xml:space="preserve"> Satisfaction du client : méthodes au choix (enquêtes, retours sur produits et services, réunions, parts de marché, compliments, réclamations, garanties, rapports de distributeurs, réseaux sociaux) ; collecte, tableau de bord, revue.</w:t>
      </w:r>
    </w:p>
    <w:p>
      <w:pPr>
        <w:pStyle w:val="ListParagraph"/>
        <w:numPr>
          <w:ilvl w:val="0"/>
          <w:numId w:val="145"/>
        </w:numPr>
        <w:rPr/>
      </w:pPr>
      <w:r>
        <w:rPr>
          <w:b/>
        </w:rPr>
        <w:t>Q16-03</w:t>
      </w:r>
      <w:r>
        <w:rPr/>
        <w:t xml:space="preserve"> Saisie des mesures et relevés sur mobile, avec contrôle de plausibilité, source et preuve jointe.</w:t>
      </w:r>
    </w:p>
    <w:p>
      <w:pPr>
        <w:pStyle w:val="ListParagraph"/>
        <w:numPr>
          <w:ilvl w:val="0"/>
          <w:numId w:val="146"/>
        </w:numPr>
        <w:rPr/>
      </w:pPr>
      <w:r>
        <w:rPr>
          <w:b/>
        </w:rPr>
        <w:t>Q16-04</w:t>
      </w:r>
      <w:r>
        <w:rPr/>
        <w:t xml:space="preserve"> Analyse et évaluation selon huit questions imposées (9.1.3 a à h) : conformité des produits et services, satisfaction, performance et efficacité du SMQ, efficacité de la planification, efficacité des actions sur les risques, sur les opportunités, performance des prestataires, besoin d'amélioration.</w:t>
      </w:r>
    </w:p>
    <w:p>
      <w:pPr>
        <w:pStyle w:val="ListParagraph"/>
        <w:numPr>
          <w:ilvl w:val="0"/>
          <w:numId w:val="147"/>
        </w:numPr>
        <w:rPr/>
      </w:pPr>
      <w:r>
        <w:rPr>
          <w:b/>
        </w:rPr>
        <w:t>Q16-05</w:t>
      </w:r>
      <w:r>
        <w:rPr/>
        <w:t xml:space="preserve"> Techniques d'analyse optionnelles (tendances, cartes de contrôle, Pareto) et alertes de seuil avec création d'action en un clic.</w:t>
      </w:r>
    </w:p>
    <w:p>
      <w:pPr>
        <w:pStyle w:val="ListParagraph"/>
        <w:numPr>
          <w:ilvl w:val="0"/>
          <w:numId w:val="148"/>
        </w:numPr>
        <w:rPr/>
      </w:pPr>
      <w:r>
        <w:rPr>
          <w:b/>
        </w:rPr>
        <w:t>Q16-06</w:t>
      </w:r>
      <w:r>
        <w:rPr/>
        <w:t xml:space="preserve"> Rapports périodiques pour les décideurs et alimentation automatique de la revue de direction.</w:t>
      </w:r>
    </w:p>
    <w:p>
      <w:pPr>
        <w:pStyle w:val="Heading3"/>
        <w:rPr/>
      </w:pPr>
      <w:r>
        <w:rPr/>
        <w:t>Q17. Audits internes (art. 9.2)</w:t>
      </w:r>
    </w:p>
    <w:p>
      <w:pPr>
        <w:pStyle w:val="ListParagraph"/>
        <w:numPr>
          <w:ilvl w:val="0"/>
          <w:numId w:val="149"/>
        </w:numPr>
        <w:rPr/>
      </w:pPr>
      <w:r>
        <w:rPr>
          <w:b/>
        </w:rPr>
        <w:t>Q17-01</w:t>
      </w:r>
      <w:r>
        <w:rPr/>
        <w:t xml:space="preserve"> Programme d'audit : fréquence, méthodes, responsabilités, exigences de planification et de compte rendu ; l'application propose la fréquence selon l'importance des processus, les résultats précédents et les changements.</w:t>
      </w:r>
    </w:p>
    <w:p>
      <w:pPr>
        <w:pStyle w:val="ListParagraph"/>
        <w:numPr>
          <w:ilvl w:val="0"/>
          <w:numId w:val="150"/>
        </w:numPr>
        <w:rPr/>
      </w:pPr>
      <w:r>
        <w:rPr>
          <w:b/>
        </w:rPr>
        <w:t>Q17-02</w:t>
      </w:r>
      <w:r>
        <w:rPr/>
        <w:t xml:space="preserve"> Plan d'audit : objectifs, critères, champ, équipe, date ; choix des auditeurs depuis la matrice de compétences avec contrôle d'indépendance.</w:t>
      </w:r>
    </w:p>
    <w:p>
      <w:pPr>
        <w:pStyle w:val="ListParagraph"/>
        <w:numPr>
          <w:ilvl w:val="0"/>
          <w:numId w:val="151"/>
        </w:numPr>
        <w:rPr/>
      </w:pPr>
      <w:r>
        <w:rPr>
          <w:b/>
        </w:rPr>
        <w:t>Q17-03</w:t>
      </w:r>
      <w:r>
        <w:rPr/>
        <w:t xml:space="preserve"> Listes de contrôle générées par article de la norme, par processus ou par site ; conduite hors connexion, constats classés (conformité, point fort, observation, non-conformité), preuves jointes.</w:t>
      </w:r>
    </w:p>
    <w:p>
      <w:pPr>
        <w:pStyle w:val="ListParagraph"/>
        <w:numPr>
          <w:ilvl w:val="0"/>
          <w:numId w:val="152"/>
        </w:numPr>
        <w:rPr/>
      </w:pPr>
      <w:r>
        <w:rPr>
          <w:b/>
        </w:rPr>
        <w:t>Q17-04</w:t>
      </w:r>
      <w:r>
        <w:rPr/>
        <w:t xml:space="preserve"> Rapport généré (PDF et Word), diffusion aux responsables concernés, correction et actions correctives lancées sans délai indu (9.2.2 d), chaque non-conformité reliée à Q19.</w:t>
      </w:r>
    </w:p>
    <w:p>
      <w:pPr>
        <w:pStyle w:val="ListParagraph"/>
        <w:numPr>
          <w:ilvl w:val="0"/>
          <w:numId w:val="153"/>
        </w:numPr>
        <w:rPr/>
      </w:pPr>
      <w:r>
        <w:rPr>
          <w:b/>
        </w:rPr>
        <w:t>Q17-05</w:t>
      </w:r>
      <w:r>
        <w:rPr/>
        <w:t xml:space="preserve"> Import des audits de seconde et de tierce partie pour constituer l'historique et les tendances utilisées en revue de direction (A.9.3).</w:t>
      </w:r>
    </w:p>
    <w:p>
      <w:pPr>
        <w:pStyle w:val="Heading3"/>
        <w:rPr/>
      </w:pPr>
      <w:r>
        <w:rPr/>
        <w:t>Q18. Revue de direction (art. 9.3)</w:t>
      </w:r>
    </w:p>
    <w:p>
      <w:pPr>
        <w:pStyle w:val="ListParagraph"/>
        <w:numPr>
          <w:ilvl w:val="0"/>
          <w:numId w:val="154"/>
        </w:numPr>
        <w:rPr/>
      </w:pPr>
      <w:r>
        <w:rPr>
          <w:b/>
        </w:rPr>
        <w:t>Q18-01</w:t>
      </w:r>
      <w:r>
        <w:rPr/>
        <w:t xml:space="preserve"> Planification à intervalles définis ; revue possible sur plusieurs réunions.</w:t>
      </w:r>
    </w:p>
    <w:p>
      <w:pPr>
        <w:pStyle w:val="ListParagraph"/>
        <w:numPr>
          <w:ilvl w:val="0"/>
          <w:numId w:val="155"/>
        </w:numPr>
        <w:rPr/>
      </w:pPr>
      <w:r>
        <w:rPr>
          <w:b/>
        </w:rPr>
        <w:t>Q18-02</w:t>
      </w:r>
      <w:r>
        <w:rPr/>
        <w:t xml:space="preserve"> Dossier d'entrée généré automatiquement : état des actions précédentes ; changements des enjeux et des attentes des parties intéressées ; tendances des non-conformités, mesures, audits, satisfaction et retours des parties intéressées, objectifs, performance des processus et conformité des produits et services, performance des prestataires ; opportunités d'amélioration ; adéquation des ressources ; efficacité des actions sur les risques et sur les opportunités.</w:t>
      </w:r>
    </w:p>
    <w:p>
      <w:pPr>
        <w:pStyle w:val="ListParagraph"/>
        <w:numPr>
          <w:ilvl w:val="0"/>
          <w:numId w:val="156"/>
        </w:numPr>
        <w:rPr/>
      </w:pPr>
      <w:r>
        <w:rPr>
          <w:b/>
        </w:rPr>
        <w:t>Q18-03</w:t>
      </w:r>
      <w:r>
        <w:rPr/>
        <w:t xml:space="preserve"> Compte rendu structuré : conclusions sur la pertinence, l'adéquation, l'efficacité et l'accord avec l'orientation stratégique ; décisions sur l'amélioration continue, les changements du SMQ et les ressources.</w:t>
      </w:r>
    </w:p>
    <w:p>
      <w:pPr>
        <w:pStyle w:val="ListParagraph"/>
        <w:numPr>
          <w:ilvl w:val="0"/>
          <w:numId w:val="157"/>
        </w:numPr>
        <w:rPr/>
      </w:pPr>
      <w:r>
        <w:rPr>
          <w:b/>
        </w:rPr>
        <w:t>Q18-04</w:t>
      </w:r>
      <w:r>
        <w:rPr/>
        <w:t xml:space="preserve"> Chaque décision devient une action suivie avec responsable et échéance ; signature de la direction et archivage comme enregistrement.</w:t>
      </w:r>
    </w:p>
    <w:p>
      <w:pPr>
        <w:pStyle w:val="Heading3"/>
        <w:rPr/>
      </w:pPr>
      <w:r>
        <w:rPr/>
        <w:t>Q19. Non-conformités, actions correctives et amélioration (art. 10)</w:t>
      </w:r>
    </w:p>
    <w:p>
      <w:pPr>
        <w:pStyle w:val="ListParagraph"/>
        <w:numPr>
          <w:ilvl w:val="0"/>
          <w:numId w:val="158"/>
        </w:numPr>
        <w:rPr/>
      </w:pPr>
      <w:r>
        <w:rPr>
          <w:b/>
        </w:rPr>
        <w:t>Q19-01</w:t>
      </w:r>
      <w:r>
        <w:rPr/>
        <w:t xml:space="preserve"> Déclaration rapide par tout utilisateur, sur tous canaux (audit, contrôle, réclamation, incident, signalement), avec photos et lieu, moins de 60 secondes.</w:t>
      </w:r>
    </w:p>
    <w:p>
      <w:pPr>
        <w:pStyle w:val="ListParagraph"/>
        <w:numPr>
          <w:ilvl w:val="0"/>
          <w:numId w:val="159"/>
        </w:numPr>
        <w:rPr/>
      </w:pPr>
      <w:r>
        <w:rPr>
          <w:b/>
        </w:rPr>
        <w:t>Q19-02</w:t>
      </w:r>
      <w:r>
        <w:rPr/>
        <w:t xml:space="preserve"> Traitement immédiat : maîtrise, correction, traitement des conséquences.</w:t>
      </w:r>
    </w:p>
    <w:p>
      <w:pPr>
        <w:pStyle w:val="ListParagraph"/>
        <w:numPr>
          <w:ilvl w:val="0"/>
          <w:numId w:val="160"/>
        </w:numPr>
        <w:rPr/>
      </w:pPr>
      <w:r>
        <w:rPr>
          <w:b/>
        </w:rPr>
        <w:t>Q19-03</w:t>
      </w:r>
      <w:r>
        <w:rPr/>
        <w:t xml:space="preserve"> Décision de mener une action corrective selon le risque de récurrence, l'impact potentiel ou réel et les exigences des clients (A.10.2) ; analyse de cause guidée, recherche de non-conformités similaires, action proportionnée aux conséquences.</w:t>
      </w:r>
    </w:p>
    <w:p>
      <w:pPr>
        <w:pStyle w:val="ListParagraph"/>
        <w:numPr>
          <w:ilvl w:val="0"/>
          <w:numId w:val="161"/>
        </w:numPr>
        <w:rPr/>
      </w:pPr>
      <w:r>
        <w:rPr>
          <w:b/>
        </w:rPr>
        <w:t>Q19-04</w:t>
      </w:r>
      <w:r>
        <w:rPr/>
        <w:t xml:space="preserve"> Vérification obligatoire de l'efficacité avant clôture ; mise à jour des risques et opportunités (10.2.1 e) et du SMQ (10.2.1 f), avec tâches générées.</w:t>
      </w:r>
    </w:p>
    <w:p>
      <w:pPr>
        <w:pStyle w:val="ListParagraph"/>
        <w:numPr>
          <w:ilvl w:val="0"/>
          <w:numId w:val="162"/>
        </w:numPr>
        <w:rPr/>
      </w:pPr>
      <w:r>
        <w:rPr>
          <w:b/>
        </w:rPr>
        <w:t>Q19-05</w:t>
      </w:r>
      <w:r>
        <w:rPr/>
        <w:t xml:space="preserve"> Escalade automatique des retards ; tableau de bord par source, site, gravité, récurrence.</w:t>
      </w:r>
    </w:p>
    <w:p>
      <w:pPr>
        <w:pStyle w:val="ListParagraph"/>
        <w:numPr>
          <w:ilvl w:val="0"/>
          <w:numId w:val="163"/>
        </w:numPr>
        <w:rPr/>
      </w:pPr>
      <w:r>
        <w:rPr>
          <w:b/>
        </w:rPr>
        <w:t>Q19-06</w:t>
      </w:r>
      <w:r>
        <w:rPr/>
        <w:t xml:space="preserve"> Registre des améliorations (10.1) alimenté par l'analyse des données, la revue de direction, les audits, les idées du personnel ; actions classées : amélioration des processus, produits et services ; réponse aux besoins futurs ; correction, prévention ou réduction des effets indésirables ; formes progressives, par rupture, innovation ou réorganisation.</w:t>
      </w:r>
    </w:p>
    <w:p>
      <w:pPr>
        <w:pStyle w:val="Heading2"/>
        <w:rPr/>
      </w:pPr>
      <w:r>
        <w:rPr/>
        <w:t>5. Fonctions transverses</w:t>
      </w:r>
    </w:p>
    <w:p>
      <w:pPr>
        <w:pStyle w:val="Normal"/>
        <w:rPr/>
      </w:pPr>
      <w:r>
        <w:rPr/>
        <w:t>Les treize fonctions transverses du module ISO 14001 (T-01 à T-13 : assistant de démarrage, « Mes tâches », score de préparation, tableaux de bord par profil, notifications, workflow, journal d'audit, recherche globale, exports, multi-sites, multilingue, import et export, calendrier unique) sont réutilisées telles quelles. Seuls les points suivants changent pour la qualité.</w:t>
      </w:r>
    </w:p>
    <w:p>
      <w:pPr>
        <w:pStyle w:val="ListParagraph"/>
        <w:numPr>
          <w:ilvl w:val="0"/>
          <w:numId w:val="164"/>
        </w:numPr>
        <w:rPr/>
      </w:pPr>
      <w:r>
        <w:rPr>
          <w:b/>
        </w:rPr>
        <w:t>TQ-01 Assistant de démarrage qualité.</w:t>
      </w:r>
      <w:r>
        <w:rPr/>
        <w:t xml:space="preserve"> Huit étapes : organisme et sites, enjeux et parties intéressées, domaine d'application, processus, politique, risques et opportunités, objectifs, premier plan d'actions. Le choix « exigences non applicables » est posé dès l'étape du domaine d'application avec justification guidée.</w:t>
      </w:r>
    </w:p>
    <w:p>
      <w:pPr>
        <w:pStyle w:val="ListParagraph"/>
        <w:numPr>
          <w:ilvl w:val="0"/>
          <w:numId w:val="165"/>
        </w:numPr>
        <w:rPr/>
      </w:pPr>
      <w:r>
        <w:rPr>
          <w:b/>
        </w:rPr>
        <w:t>TQ-02 Score de préparation à la certification ISO 9001.</w:t>
      </w:r>
      <w:r>
        <w:rPr/>
        <w:t xml:space="preserve"> Par article, état (conforme, à compléter, manquant), calculé à partir des informations documentées présentes, à jour et validées, avec les manques listés et réparables en un clic.</w:t>
      </w:r>
    </w:p>
    <w:p>
      <w:pPr>
        <w:pStyle w:val="ListParagraph"/>
        <w:numPr>
          <w:ilvl w:val="0"/>
          <w:numId w:val="166"/>
        </w:numPr>
        <w:rPr/>
      </w:pPr>
      <w:r>
        <w:rPr>
          <w:b/>
        </w:rPr>
        <w:t>TQ-03 Tableau de bord de direction qualité.</w:t>
      </w:r>
      <w:r>
        <w:rPr/>
        <w:t xml:space="preserve"> Six indicateurs de tête : satisfaction du client, objectifs atteints, réclamations ouvertes et délai moyen, non-conformités ouvertes, actions en retard, prestataires sous surveillance ; plus l'état des risques et des opportunités.</w:t>
      </w:r>
    </w:p>
    <w:p>
      <w:pPr>
        <w:pStyle w:val="ListParagraph"/>
        <w:numPr>
          <w:ilvl w:val="0"/>
          <w:numId w:val="167"/>
        </w:numPr>
        <w:rPr/>
      </w:pPr>
      <w:r>
        <w:rPr>
          <w:b/>
        </w:rPr>
        <w:t>TQ-04 Configurateur d'applicabilité.</w:t>
      </w:r>
      <w:r>
        <w:rPr/>
        <w:t xml:space="preserve"> Active ou désactive les modules facultatifs (conception, biens du client, après-livraison…) avec motif et contrôle de cohérence (voir Q1-06) ; les désactivations apparaissent dans le domaine d'application publié.</w:t>
      </w:r>
    </w:p>
    <w:p>
      <w:pPr>
        <w:pStyle w:val="ListParagraph"/>
        <w:numPr>
          <w:ilvl w:val="0"/>
          <w:numId w:val="168"/>
        </w:numPr>
        <w:rPr/>
      </w:pPr>
      <w:r>
        <w:rPr>
          <w:b/>
        </w:rPr>
        <w:t>TQ-05 Pilotage multi-normes.</w:t>
      </w:r>
      <w:r>
        <w:rPr/>
        <w:t xml:space="preserve"> Quand l'organisme active aussi le module ISO 14001, les briques communes sont partagées : un seul registre des parties intéressées avec attributs qualité et environnement, une seule revue de direction avec rubriques par norme, un seul programme d'audit combiné, des non-conformités et actions uniques, des documents communs. Les exigences propres à chaque norme restent distinctes.</w:t>
      </w:r>
    </w:p>
    <w:p>
      <w:pPr>
        <w:pStyle w:val="ListParagraph"/>
        <w:numPr>
          <w:ilvl w:val="0"/>
          <w:numId w:val="169"/>
        </w:numPr>
        <w:rPr/>
      </w:pPr>
      <w:r>
        <w:rPr>
          <w:b/>
        </w:rPr>
        <w:t>TQ-06 Réclamations omnicanales.</w:t>
      </w:r>
      <w:r>
        <w:rPr/>
        <w:t xml:space="preserve"> Formulaire public, e-mail, téléphone, messagerie ou saisie par un collaborateur, tous convergeant vers un registre unique avec numéro de suivi communiqué au client.</w:t>
      </w:r>
    </w:p>
    <w:p>
      <w:pPr>
        <w:pStyle w:val="Heading2"/>
        <w:rPr/>
      </w:pPr>
      <w:r>
        <w:rPr/>
        <w:t>6. Expérience utilisateur et ergonomie</w:t>
      </w:r>
    </w:p>
    <w:p>
      <w:pPr>
        <w:pStyle w:val="Normal"/>
        <w:rPr/>
      </w:pPr>
      <w:r>
        <w:rPr/>
        <w:t>Les sept principes de conception (une intention par écran, guidé plutôt que vide, mobile d'abord, jargon optionnel, retour immédiat, tolérance au réseau, cohérence), le système de design, l'accessibilité WCAG 2.2 AA et les cibles de performance du cahier des charges ISO 14001 s'appliquent sans changement, avec la même identité visuelle paramétrable. Ce chapitre précise ce qui est propre à la qualité.</w:t>
      </w:r>
    </w:p>
    <w:p>
      <w:pPr>
        <w:pStyle w:val="Heading3"/>
        <w:rPr/>
      </w:pPr>
      <w:r>
        <w:rPr/>
        <w:t>Navigation : le cycle PDCA comme plan de l'application</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Zone du menu</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Contenu</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Modules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Accueil</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Tableau de bord du profil, mes tâches, score de préparation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TQ-02, TQ-03</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Planifier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Contexte, processus, politique, risques, opportunités, objectifs, changements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Q1 à Q7</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Réaliser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Ressources, compétences, communication, documents, relation client, conception, prestataires, production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Q8 à Q15</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Vérifier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Satisfaction et analyse, audits, revue de direction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Q16 à Q18</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Agir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Non-conformités, amélioration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Q19</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Administration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Utilisateurs, droits, sites, applicabilité, paramètres, journal</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TQ-04 et fonctions communes</w:t>
            </w:r>
          </w:p>
        </w:tc>
      </w:tr>
    </w:tbl>
    <w:p>
      <w:pPr>
        <w:pStyle w:val="Normal"/>
        <w:rPr/>
      </w:pPr>
      <w:r>
        <w:rPr/>
        <w:t>Sur téléphone, la barre inférieure comporte Accueil, Mes tâches, Signaler (réclamation, écart, sortie non conforme), Mesures, Plus.</w:t>
      </w:r>
    </w:p>
    <w:p>
      <w:pPr>
        <w:pStyle w:val="Heading3"/>
        <w:rPr/>
      </w:pPr>
      <w:r>
        <w:rPr/>
        <w:t>Parcours critiques et cibles d'ergonomie</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Parcours</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Profil</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Cible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Enregistrer une réclamation client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Contributeur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 écrans, moins de 60 s, numéro de suivi immédiat</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Déclarer une sortie non conforme et l'isoler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Contributeur, pilote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 écrans, étiquette « bloqué » proposée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Réaliser la revue d'une commande ou d'un contrat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Pilote, commercial</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Liste de contrôle en un écran, moins de 2 minutes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Libérer un produit ou service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Pilote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écran, preuves visibles, signature en 2 gestes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Saisir une mesure ou un indicateur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Contributeur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 écrans, moins de 30 s, valeur précédente affichée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Évaluer un prestataire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Pilote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Formulaire en un écran, moins de 3 minutes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Répondre à une action assignée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Contributeur, pilote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clic depuis la notification, 2 pour clôturer avec preuve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Réaliser un audit interne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Auditeur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Une question par écran, hors connexion</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Premier jeu de fiches processus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Responsable qualité</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Moins de 4 heures avec l'assistant</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Préparer la revue de direction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Responsable qualité</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Dossier généré en 1 clic, relu en 30 minutes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Exporter le dossier d'audit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Responsable qualité</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clic, moins de 2 minutes</w:t>
            </w:r>
          </w:p>
        </w:tc>
      </w:tr>
    </w:tbl>
    <w:p>
      <w:pPr>
        <w:pStyle w:val="Heading3"/>
        <w:rPr/>
      </w:pPr>
      <w:r>
        <w:rPr/>
        <w:t>Particularités d'interface</w:t>
      </w:r>
    </w:p>
    <w:p>
      <w:pPr>
        <w:pStyle w:val="ListParagraph"/>
        <w:numPr>
          <w:ilvl w:val="0"/>
          <w:numId w:val="170"/>
        </w:numPr>
        <w:rPr/>
      </w:pPr>
      <w:r>
        <w:rPr>
          <w:b/>
        </w:rPr>
        <w:t>Vue processus d'abord</w:t>
      </w:r>
      <w:r>
        <w:rPr/>
        <w:t xml:space="preserve"> : la cartographie est une porte d'entrée ; en cliquant sur un processus, on voit ses risques, indicateurs, actions, documents et prestataires associés.</w:t>
      </w:r>
    </w:p>
    <w:p>
      <w:pPr>
        <w:pStyle w:val="ListParagraph"/>
        <w:numPr>
          <w:ilvl w:val="0"/>
          <w:numId w:val="171"/>
        </w:numPr>
        <w:rPr/>
      </w:pPr>
      <w:r>
        <w:rPr>
          <w:b/>
        </w:rPr>
        <w:t>Cartes de risque et d'opportunité</w:t>
      </w:r>
      <w:r>
        <w:rPr/>
        <w:t xml:space="preserve"> côte à côte mais visuellement distinctes (couleur d'accent et pictogramme différents).</w:t>
      </w:r>
    </w:p>
    <w:p>
      <w:pPr>
        <w:pStyle w:val="ListParagraph"/>
        <w:numPr>
          <w:ilvl w:val="0"/>
          <w:numId w:val="172"/>
        </w:numPr>
        <w:rPr/>
      </w:pPr>
      <w:r>
        <w:rPr>
          <w:b/>
        </w:rPr>
        <w:t>Aide contextuelle « Pourquoi ? »</w:t>
      </w:r>
      <w:r>
        <w:rPr/>
        <w:t xml:space="preserve"> rédigée avec nos propres mots avec renvoi aux numéros d'articles ; le texte de la norme n'est pas reproduit (droits d'auteur ISO).</w:t>
      </w:r>
    </w:p>
    <w:p>
      <w:pPr>
        <w:pStyle w:val="ListParagraph"/>
        <w:numPr>
          <w:ilvl w:val="0"/>
          <w:numId w:val="173"/>
        </w:numPr>
        <w:rPr/>
      </w:pPr>
      <w:r>
        <w:rPr>
          <w:b/>
        </w:rPr>
        <w:t>Culture et éthique</w:t>
      </w:r>
      <w:r>
        <w:rPr/>
        <w:t xml:space="preserve"> : ton neutre et bienveillant, signalements confidentiels, pas de classement de personnes.</w:t>
      </w:r>
    </w:p>
    <w:p>
      <w:pPr>
        <w:pStyle w:val="ListParagraph"/>
        <w:numPr>
          <w:ilvl w:val="0"/>
          <w:numId w:val="174"/>
        </w:numPr>
        <w:rPr/>
      </w:pPr>
      <w:r>
        <w:rPr>
          <w:b/>
        </w:rPr>
        <w:t>Motivation sans gadget</w:t>
      </w:r>
      <w:r>
        <w:rPr/>
        <w:t xml:space="preserve"> : progression de l'assistant, score de préparation, taux d'actions à l'heure par équipe ; ni points ni badges.</w:t>
      </w:r>
    </w:p>
    <w:p>
      <w:pPr>
        <w:pStyle w:val="Heading2"/>
        <w:rPr/>
      </w:pPr>
      <w:r>
        <w:rPr/>
        <w:t>7. Modèle de données</w:t>
      </w:r>
    </w:p>
    <w:p>
      <w:pPr>
        <w:pStyle w:val="Normal"/>
        <w:rPr/>
      </w:pPr>
      <w:r>
        <w:rPr/>
        <w:t>Les règles du cahier des charges ISO 14001 s'appliquent (multi-organismes, identifiants universels, traçabilité, suppression logique, versionnage, listes configurables, liens génériques, conservation). Le socle (organisme, site, utilisateur, rôle, journal, tâche, notification, commentaire, pièce jointe, document, version, enregistrement, audit, revue, non-conformité, action) est partagé ; les entités ci-dessous sont celles que le module qualité ajoute ou spécialise.</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Domaine</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Entités propres à la qualité</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Relations clés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Contexte et leadership</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Enjeu (avec indicateur climat), Partie intéressée, Domaine d'application, Exigence non applicable (avec justification), Politique qualité, Engagement de leadership, Charte éthique, Signalement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Une exigence non applicable est rattachée à une version du domaine d'application</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Processus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Processus, Entrée, Sortie, Interaction, Indicateur de processus, Responsabilité</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Sortie d'un processus = entrée d'un autre ; processus 1-n risques, opportunités, indicateurs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Planification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Risque, Opportunité, Objectif qualité, Action, Changement, Analyse de changement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Risque et Opportunité distincts, liés à Processus, Enjeu, Partie intéressée ; Objectif 1-n Action</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Ressources et support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Besoin de ressource, Infrastructure, Maintenance, Équipement de mesure, Étalonnage, Connaissance, Compétence, Formation, Campagne de sensibilisation, Plan de communication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Équipement 1-n Étalonnage ; défaut d'étalonnage liste les Mesures concernées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Relation client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Client, Offre (produit ou service), Exigence d'offre, Revue de commande, Avenant, Réclamation, Bien du client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Réclamation peut ouvrir une Non-conformité ; Revue de commande liée à une Offre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Conception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Projet de conception, Entrée, Sortie, Revue, Vérification, Validation, Modification de conception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Entrée 1-n Sorties ; matrice de traçabilité</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Prestataires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Prestataire, Critère d'évaluation, Évaluation, Commande avec exigences, Contrôle de réception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Prestataire 1-n Évaluations ; Commande liée à Prestataire et Offre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Production et prestation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Dossier d'exécution, Lot ou numéro de série, Plan de contrôle, Contrôle, Libération, Dérogation, Sortie non conforme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Dossier 1-n Contrôles ; Libération exige les Contrôles conformes ; Sortie non conforme liée à Lot</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Performance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Mesure, Enquête de satisfaction, Réponse, Analyse 9.1.3, Programme d'audit, Constat, Entrée de revue, Décision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Analyse 9.1.3 agrège Mesures, Réclamations, Prestataires, Risques et Opportunités</w:t>
            </w:r>
          </w:p>
        </w:tc>
      </w:tr>
    </w:tbl>
    <w:p>
      <w:pPr>
        <w:pStyle w:val="Heading3"/>
        <w:rPr/>
      </w:pPr>
      <w:r>
        <w:rPr/>
        <w:t>Règles de données spécifiques</w:t>
      </w:r>
    </w:p>
    <w:p>
      <w:pPr>
        <w:pStyle w:val="ListParagraph"/>
        <w:numPr>
          <w:ilvl w:val="0"/>
          <w:numId w:val="175"/>
        </w:numPr>
        <w:rPr/>
      </w:pPr>
      <w:r>
        <w:rPr>
          <w:b/>
        </w:rPr>
        <w:t>Verrouillage des preuves</w:t>
      </w:r>
      <w:r>
        <w:rPr/>
        <w:t xml:space="preserve"> : un enregistrement clos n'est modifiable que par nouvelle version tracée ; horodatage et empreinte numérique conservés.</w:t>
      </w:r>
    </w:p>
    <w:p>
      <w:pPr>
        <w:pStyle w:val="ListParagraph"/>
        <w:numPr>
          <w:ilvl w:val="0"/>
          <w:numId w:val="176"/>
        </w:numPr>
        <w:rPr/>
      </w:pPr>
      <w:r>
        <w:rPr>
          <w:b/>
        </w:rPr>
        <w:t>Traçabilité des libérations</w:t>
      </w:r>
      <w:r>
        <w:rPr/>
        <w:t xml:space="preserve"> : chaque Libération porte l'identifiant de la personne autorisante et la liste des contrôles satisfaits au moment de la signature.</w:t>
      </w:r>
    </w:p>
    <w:p>
      <w:pPr>
        <w:pStyle w:val="ListParagraph"/>
        <w:numPr>
          <w:ilvl w:val="0"/>
          <w:numId w:val="177"/>
        </w:numPr>
        <w:rPr/>
      </w:pPr>
      <w:r>
        <w:rPr>
          <w:b/>
        </w:rPr>
        <w:t>Séparation risques et opportunités</w:t>
      </w:r>
      <w:r>
        <w:rPr/>
        <w:t xml:space="preserve"> : deux tables, deux workflows ; seul l'affichage de pilotage les combine.</w:t>
      </w:r>
    </w:p>
    <w:p>
      <w:pPr>
        <w:pStyle w:val="ListParagraph"/>
        <w:numPr>
          <w:ilvl w:val="0"/>
          <w:numId w:val="178"/>
        </w:numPr>
        <w:rPr/>
      </w:pPr>
      <w:r>
        <w:rPr>
          <w:b/>
        </w:rPr>
        <w:t>Applicabilité</w:t>
      </w:r>
      <w:r>
        <w:rPr/>
        <w:t xml:space="preserve"> : toute entité d'un module désactivé reste archivée mais n'est plus proposée ; la désactivation est datée et motivée.</w:t>
      </w:r>
    </w:p>
    <w:p>
      <w:pPr>
        <w:pStyle w:val="ListParagraph"/>
        <w:numPr>
          <w:ilvl w:val="0"/>
          <w:numId w:val="179"/>
        </w:numPr>
        <w:rPr/>
      </w:pPr>
      <w:r>
        <w:rPr>
          <w:b/>
        </w:rPr>
        <w:t>Données personnelles de clients</w:t>
      </w:r>
      <w:r>
        <w:rPr/>
        <w:t xml:space="preserve"> : minimisation, durée de conservation, droit d'accès et d'effacement ; cloisonnement par organisme.</w:t>
      </w:r>
    </w:p>
    <w:p>
      <w:pPr>
        <w:pStyle w:val="Heading2"/>
        <w:rPr/>
      </w:pPr>
      <w:r>
        <w:rPr/>
        <w:t>8. Architecture technique et sécurité</w:t>
      </w:r>
    </w:p>
    <w:p>
      <w:pPr>
        <w:pStyle w:val="Normal"/>
        <w:rPr/>
      </w:pPr>
      <w:r>
        <w:rPr/>
        <w:t>La pile technologique, le mode hors connexion et les mesures de sécurité du cahier des charges ISO 14001 s'appliquent (Laravel et PostgreSQL, Vue avec Inertia, PWA hors connexion, Redis pour les tâches de fond, stockage chiffré, double authentification, journal non modifiable, sauvegardes quotidiennes). L'ISO 9001 s'ajoute comme un second module du même monolithe modulaire, au-dessus d'un noyau commun développé une seule fois.</w:t>
      </w:r>
    </w:p>
    <w:p>
      <w:pPr>
        <w:pStyle w:val="Normal"/>
        <w:rPr/>
      </w:pPr>
      <w:r>
        <w:rPr/>
        <w:drawing>
          <wp:inline distT="0" distB="0" distL="0" distR="0">
            <wp:extent cx="5486400" cy="3314700"/>
            <wp:effectExtent l="0" t="0" r="0" b="0"/>
            <wp:docPr id="1" name="image1" descr="architecture · 1 noyau, 2 modules, 1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rchitecture · 1 noyau, 2 modules, 1 base"/>
                    <pic:cNvPicPr>
                      <a:picLocks noChangeAspect="1" noChangeArrowheads="1"/>
                    </pic:cNvPicPr>
                  </pic:nvPicPr>
                  <pic:blipFill>
                    <a:blip r:embed="rId2"/>
                    <a:stretch>
                      <a:fillRect/>
                    </a:stretch>
                  </pic:blipFill>
                  <pic:spPr bwMode="auto">
                    <a:xfrm>
                      <a:off x="0" y="0"/>
                      <a:ext cx="5486400" cy="3314700"/>
                    </a:xfrm>
                    <a:prstGeom prst="rect">
                      <a:avLst/>
                    </a:prstGeom>
                  </pic:spPr>
                </pic:pic>
              </a:graphicData>
            </a:graphic>
          </wp:inline>
        </w:drawing>
      </w:r>
    </w:p>
    <w:p>
      <w:pPr>
        <w:pStyle w:val="Normal"/>
        <w:rPr/>
      </w:pPr>
      <w:r>
        <w:rPr/>
        <w:t>architecture · 1 noyau, 2 modules, 1 base</w:t>
      </w:r>
    </w:p>
    <w:p>
      <w:pPr>
        <w:pStyle w:val="Normal"/>
        <w:rPr/>
      </w:pPr>
      <w:r>
        <w:rPr/>
        <w:t>Les modules normatifs s'appuient tous sur le même noyau ; ajouter une norme revient à ajouter un module, pas à refaire l'application.</w:t>
      </w:r>
    </w:p>
    <w:p>
      <w:pPr>
        <w:pStyle w:val="Heading3"/>
        <w:rPr/>
      </w:pPr>
      <w:r>
        <w:rPr/>
        <w:t>Ce que l'ISO 9001 ajoute techniquement</w:t>
      </w:r>
    </w:p>
    <w:p>
      <w:pPr>
        <w:pStyle w:val="ListParagraph"/>
        <w:numPr>
          <w:ilvl w:val="0"/>
          <w:numId w:val="180"/>
        </w:numPr>
        <w:rPr/>
      </w:pPr>
      <w:r>
        <w:rPr>
          <w:b/>
        </w:rPr>
        <w:t>Signature et preuve</w:t>
      </w:r>
      <w:r>
        <w:rPr/>
        <w:t xml:space="preserve"> : signature électronique simple dès la V1 pour la politique, la libération des produits et services et les dérogations ; horodatage et empreinte du document signé, vérifiables hors de l'application.</w:t>
      </w:r>
    </w:p>
    <w:p>
      <w:pPr>
        <w:pStyle w:val="ListParagraph"/>
        <w:numPr>
          <w:ilvl w:val="0"/>
          <w:numId w:val="181"/>
        </w:numPr>
        <w:rPr/>
      </w:pPr>
      <w:r>
        <w:rPr>
          <w:b/>
        </w:rPr>
        <w:t>Traçabilité par lot ou numéro de série</w:t>
      </w:r>
      <w:r>
        <w:rPr/>
        <w:t xml:space="preserve"> : identifiants uniques, génération d'étiquettes à code QR ou code-barres imprimables ; lecture par la caméra du téléphone en V1, lecteurs dédiés en V2.</w:t>
      </w:r>
    </w:p>
    <w:p>
      <w:pPr>
        <w:pStyle w:val="ListParagraph"/>
        <w:numPr>
          <w:ilvl w:val="0"/>
          <w:numId w:val="182"/>
        </w:numPr>
        <w:rPr/>
      </w:pPr>
      <w:r>
        <w:rPr>
          <w:b/>
        </w:rPr>
        <w:t>Formulaires de relation client</w:t>
      </w:r>
      <w:r>
        <w:rPr/>
        <w:t xml:space="preserve"> : formulaire public de réclamation et de demande, protégé contre les abus (limitation de débit, contrôle antispam), sans accès au reste de l'application.</w:t>
      </w:r>
    </w:p>
    <w:p>
      <w:pPr>
        <w:pStyle w:val="ListParagraph"/>
        <w:numPr>
          <w:ilvl w:val="0"/>
          <w:numId w:val="183"/>
        </w:numPr>
        <w:rPr/>
      </w:pPr>
      <w:r>
        <w:rPr>
          <w:b/>
        </w:rPr>
        <w:t>Enquêtes de satisfaction</w:t>
      </w:r>
      <w:r>
        <w:rPr/>
        <w:t xml:space="preserve"> : liens à usage unique par client, anonymisation possible, export des résultats.</w:t>
      </w:r>
    </w:p>
    <w:p>
      <w:pPr>
        <w:pStyle w:val="ListParagraph"/>
        <w:numPr>
          <w:ilvl w:val="0"/>
          <w:numId w:val="184"/>
        </w:numPr>
        <w:rPr/>
      </w:pPr>
      <w:r>
        <w:rPr>
          <w:b/>
        </w:rPr>
        <w:t>Moteur de listes de contrôle</w:t>
      </w:r>
      <w:r>
        <w:rPr/>
        <w:t xml:space="preserve"> : composant unique réutilisé pour les revues de commande, contrôles de libération, audits et évaluations de prestataires, pour limiter le développement.</w:t>
      </w:r>
    </w:p>
    <w:p>
      <w:pPr>
        <w:pStyle w:val="ListParagraph"/>
        <w:numPr>
          <w:ilvl w:val="0"/>
          <w:numId w:val="185"/>
        </w:numPr>
        <w:rPr/>
      </w:pPr>
      <w:r>
        <w:rPr>
          <w:b/>
        </w:rPr>
        <w:t>Moteur de règles d'applicabilité</w:t>
      </w:r>
      <w:r>
        <w:rPr/>
        <w:t xml:space="preserve"> : active ou désactive modules et exigences avec motif, et recalcule le score de préparation et le domaine d'application.</w:t>
      </w:r>
    </w:p>
    <w:p>
      <w:pPr>
        <w:pStyle w:val="ListParagraph"/>
        <w:numPr>
          <w:ilvl w:val="0"/>
          <w:numId w:val="186"/>
        </w:numPr>
        <w:rPr/>
      </w:pPr>
      <w:r>
        <w:rPr>
          <w:b/>
        </w:rPr>
        <w:t>Isolation</w:t>
      </w:r>
      <w:r>
        <w:rPr/>
        <w:t xml:space="preserve"> : les données d'un organisme restent cloisonnées ; un organisme qui active deux normes partage ses données communes en interne uniquement.</w:t>
      </w:r>
    </w:p>
    <w:p>
      <w:pPr>
        <w:pStyle w:val="ListParagraph"/>
        <w:numPr>
          <w:ilvl w:val="0"/>
          <w:numId w:val="187"/>
        </w:numPr>
        <w:rPr/>
      </w:pPr>
      <w:r>
        <w:rPr>
          <w:b/>
        </w:rPr>
        <w:t>Données clients</w:t>
      </w:r>
      <w:r>
        <w:rPr/>
        <w:t xml:space="preserve"> : les données personnelles de clients finaux suivent les mêmes règles de minimisation et de conservation, avec contrôle juridique avant mise en production.</w:t>
      </w:r>
    </w:p>
    <w:p>
      <w:pPr>
        <w:pStyle w:val="Heading2"/>
        <w:rPr/>
      </w:pPr>
      <w:r>
        <w:rPr/>
        <w:t>9. Exigences non fonctionnelles, phasage, livrables et recette</w:t>
      </w:r>
    </w:p>
    <w:p>
      <w:pPr>
        <w:pStyle w:val="Normal"/>
        <w:rPr/>
      </w:pPr>
      <w:r>
        <w:rPr/>
        <w:t>Les exigences non fonctionnelles du cahier des charges ISO 14001 (performance, capacité, disponibilité, reprise, compatibilité, accessibilité, maintenabilité, localisation, réversibilité, propriété intellectuelle) sont reprises avec les mêmes cibles. Elles sont complétées par l'intégrité des preuves : tout enregistrement clos est verrouillé, horodaté et protégé par une empreinte, et le contrôle d'intégrité est testé à chaque version.</w:t>
      </w:r>
    </w:p>
    <w:p>
      <w:pPr>
        <w:pStyle w:val="Heading3"/>
        <w:rPr/>
      </w:pPr>
      <w:r>
        <w:rPr/>
        <w:t>Phasage proposé</w:t>
      </w:r>
    </w:p>
    <w:p>
      <w:pPr>
        <w:pStyle w:val="Normal"/>
        <w:rPr/>
      </w:pPr>
      <w:r>
        <w:rPr/>
        <w:t>Les durées supposent que le noyau commun existe déjà (développé avec le module ISO 14001) et une équipe de trois développeurs ; elles sont à confirmer après chiffrage. Si le noyau n'existe pas, ajouter environ 8 semaines à la phase 1.</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2340"/>
        <w:gridCol w:w="2340"/>
        <w:gridCol w:w="2340"/>
        <w:gridCol w:w="2339"/>
      </w:tblGrid>
      <w:tr>
        <w:trPr>
          <w:tblHeader w:val="true"/>
        </w:trPr>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Phase</w:t>
            </w:r>
          </w:p>
        </w:tc>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Contenu</w:t>
            </w:r>
          </w:p>
        </w:tc>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Durée estimée</w:t>
            </w:r>
          </w:p>
        </w:tc>
        <w:tc>
          <w:tcPr>
            <w:tcW w:w="233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Critère de sortie</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0. Cadrage</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Ateliers avec 2 ou 3 utilisateurs types, maquettes des parcours spécifiques (réclamation, revue de commande, libération), validation du présent cahier des charges</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 semaines</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Maquettes validées</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MVP « SMQ prêt à auditer »</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Q1 à Q7, Q11, Q16 (indicateurs et satisfaction de base), Q17 à Q19, TQ-01 à TQ-04, exports</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10 semaines</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 organisme pilote constitue son SMQ complet et exporte son dossier d'audit</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 Opérations et relation client</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Q8 à Q10, Q12 à Q15, signature électronique, étiquettes à code QR, hors connexion complet, TQ-06</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12 semaines</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Réclamations, revues de commande, libérations et sorties non conformes réalisées sur un site pilote</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 Extension</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Portails client et prestataire, enquêtes automatisées, intégration ERP et facturation, traçabilité avancée, maîtrise statistique, mode multi-normes complet (TQ-05)</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8 semaines et plus</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Au moins une intégration et le mode multi-normes en production</w:t>
            </w:r>
          </w:p>
        </w:tc>
      </w:tr>
    </w:tbl>
    <w:p>
      <w:pPr>
        <w:pStyle w:val="Heading3"/>
        <w:rPr/>
      </w:pPr>
      <w:r>
        <w:rPr/>
        <w:t>Exigences non fonctionnelles propres à l'ISO 9001</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Domaine</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Exigence</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Cible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Délais de saisie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Enregistrer une réclamation ; déclarer une sortie non conforme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Moins de 60 secondes, y compris hors connexion</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Intégrité</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Enregistrements clos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Verrouillés, horodatés, empreinte vérifiable, correction par nouvelle version uniquement</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Traçabilité</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Reconstitution de l'historique d'un lot ou d'une prestation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Moins de 10 secondes depuis l'identifiant</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Disponibilité du formulaire public</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Réclamations clients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99,5 % par mois, protégé contre les abus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Cohérence normative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Désactivation d'une exigence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Motif obligatoire, avertissement automatique en cas de contradiction avec 4.3</w:t>
            </w:r>
          </w:p>
        </w:tc>
      </w:tr>
    </w:tbl>
    <w:p>
      <w:pPr>
        <w:pStyle w:val="Heading3"/>
        <w:rPr/>
      </w:pPr>
      <w:r>
        <w:rPr/>
        <w:t>Livrables attendus</w:t>
      </w:r>
    </w:p>
    <w:p>
      <w:pPr>
        <w:pStyle w:val="ListParagraph"/>
        <w:numPr>
          <w:ilvl w:val="0"/>
          <w:numId w:val="188"/>
        </w:numPr>
        <w:rPr/>
      </w:pPr>
      <w:r>
        <w:rPr/>
        <w:t>Code source versionné, scripts de déploiement, jeu de données de démonstration (un organisme de services et un organisme de fabrication).</w:t>
      </w:r>
    </w:p>
    <w:p>
      <w:pPr>
        <w:pStyle w:val="ListParagraph"/>
        <w:numPr>
          <w:ilvl w:val="0"/>
          <w:numId w:val="189"/>
        </w:numPr>
        <w:rPr/>
      </w:pPr>
      <w:r>
        <w:rPr/>
        <w:t>Matrice de traçabilité exigence de la norme → fonction → test.</w:t>
      </w:r>
    </w:p>
    <w:p>
      <w:pPr>
        <w:pStyle w:val="ListParagraph"/>
        <w:numPr>
          <w:ilvl w:val="0"/>
          <w:numId w:val="190"/>
        </w:numPr>
        <w:rPr/>
      </w:pPr>
      <w:r>
        <w:rPr/>
        <w:t>Documentation technique et d'API, guide utilisateur par profil, vidéos de prise en main, aide contextuelle.</w:t>
      </w:r>
    </w:p>
    <w:p>
      <w:pPr>
        <w:pStyle w:val="ListParagraph"/>
        <w:numPr>
          <w:ilvl w:val="0"/>
          <w:numId w:val="191"/>
        </w:numPr>
        <w:rPr/>
      </w:pPr>
      <w:r>
        <w:rPr/>
        <w:t>Plan de tests et rapports de recette, procédure de sauvegarde et de restauration.</w:t>
      </w:r>
    </w:p>
    <w:p>
      <w:pPr>
        <w:pStyle w:val="ListParagraph"/>
        <w:numPr>
          <w:ilvl w:val="0"/>
          <w:numId w:val="192"/>
        </w:numPr>
        <w:rPr/>
      </w:pPr>
      <w:r>
        <w:rPr/>
        <w:t>Formation des administrateurs et des premiers utilisateurs.</w:t>
      </w:r>
    </w:p>
    <w:p>
      <w:pPr>
        <w:pStyle w:val="Heading3"/>
        <w:rPr/>
      </w:pPr>
      <w:r>
        <w:rPr/>
        <w:t>Critères d'acceptation (recette)</w:t>
      </w:r>
    </w:p>
    <w:p>
      <w:pPr>
        <w:pStyle w:val="ListParagraph"/>
        <w:numPr>
          <w:ilvl w:val="0"/>
          <w:numId w:val="193"/>
        </w:numPr>
        <w:rPr/>
      </w:pPr>
      <w:r>
        <w:rPr/>
        <w:t>Un organisme de démonstration est créé avec l'assistant et atteint un score de préparation supérieur ou égal à 80 % en moins d'une journée.</w:t>
      </w:r>
    </w:p>
    <w:p>
      <w:pPr>
        <w:pStyle w:val="ListParagraph"/>
        <w:numPr>
          <w:ilvl w:val="0"/>
          <w:numId w:val="29"/>
        </w:numPr>
        <w:rPr/>
      </w:pPr>
      <w:r>
        <w:rPr/>
        <w:t>Chaque exigence des articles 4 à 10 est reliée à au moins une fonction testée (100 %).</w:t>
      </w:r>
    </w:p>
    <w:p>
      <w:pPr>
        <w:pStyle w:val="ListParagraph"/>
        <w:numPr>
          <w:ilvl w:val="0"/>
          <w:numId w:val="29"/>
        </w:numPr>
        <w:rPr/>
      </w:pPr>
      <w:r>
        <w:rPr/>
        <w:t>Les parcours critiques du chapitre 6 respectent leurs cibles, mesurés sur 5 utilisateurs non formés.</w:t>
      </w:r>
    </w:p>
    <w:p>
      <w:pPr>
        <w:pStyle w:val="ListParagraph"/>
        <w:numPr>
          <w:ilvl w:val="0"/>
          <w:numId w:val="29"/>
        </w:numPr>
        <w:rPr/>
      </w:pPr>
      <w:r>
        <w:rPr/>
        <w:t>Réclamations, sorties non conformes, mesures et audits se saisissent hors connexion et se synchronisent sans perte (coupure de 30 minutes).</w:t>
      </w:r>
    </w:p>
    <w:p>
      <w:pPr>
        <w:pStyle w:val="ListParagraph"/>
        <w:numPr>
          <w:ilvl w:val="0"/>
          <w:numId w:val="29"/>
        </w:numPr>
        <w:rPr/>
      </w:pPr>
      <w:r>
        <w:rPr/>
        <w:t>Une libération est impossible tant que les contrôles requis ne sont pas satisfaits, sauf dérogation tracée (test automatisé).</w:t>
      </w:r>
    </w:p>
    <w:p>
      <w:pPr>
        <w:pStyle w:val="ListParagraph"/>
        <w:numPr>
          <w:ilvl w:val="0"/>
          <w:numId w:val="29"/>
        </w:numPr>
        <w:rPr/>
      </w:pPr>
      <w:r>
        <w:rPr/>
        <w:t>Un enregistrement clos ne peut plus être modifié ; toute tentative est refusée et journalisée.</w:t>
      </w:r>
    </w:p>
    <w:p>
      <w:pPr>
        <w:pStyle w:val="ListParagraph"/>
        <w:numPr>
          <w:ilvl w:val="0"/>
          <w:numId w:val="29"/>
        </w:numPr>
        <w:rPr/>
      </w:pPr>
      <w:r>
        <w:rPr/>
        <w:t>Un utilisateur d'un organisme ne voit jamais les données d'un autre (tests d'isolation à 100 %).</w:t>
      </w:r>
    </w:p>
    <w:p>
      <w:pPr>
        <w:pStyle w:val="ListParagraph"/>
        <w:numPr>
          <w:ilvl w:val="0"/>
          <w:numId w:val="29"/>
        </w:numPr>
        <w:rPr/>
      </w:pPr>
      <w:r>
        <w:rPr/>
        <w:t>Le dossier d'audit exporté contient toutes les informations documentées exigées, avec versions, auteurs et dates, et s'ouvre sans l'application.</w:t>
      </w:r>
    </w:p>
    <w:p>
      <w:pPr>
        <w:pStyle w:val="ListParagraph"/>
        <w:numPr>
          <w:ilvl w:val="0"/>
          <w:numId w:val="29"/>
        </w:numPr>
        <w:rPr/>
      </w:pPr>
      <w:r>
        <w:rPr/>
        <w:t>Aucun défaut bloquant ou majeur ouvert à la livraison ; contrôle d'accessibilité AA passé sur les dix écrans les plus utilisés.</w:t>
      </w:r>
    </w:p>
    <w:p>
      <w:pPr>
        <w:pStyle w:val="Heading3"/>
        <w:rPr/>
      </w:pPr>
      <w:r>
        <w:rPr/>
        <w:t>Risques du projet et parades</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4680"/>
        <w:gridCol w:w="4679"/>
      </w:tblGrid>
      <w:tr>
        <w:trPr>
          <w:tblHeader w:val="true"/>
        </w:trPr>
        <w:tc>
          <w:tcPr>
            <w:tcW w:w="468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Risque</w:t>
            </w:r>
          </w:p>
        </w:tc>
        <w:tc>
          <w:tcPr>
            <w:tcW w:w="467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Parade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Doublon de développement avec le module ISO 14001</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Noyau commun développé une fois ; revue d'architecture avant la phase 1</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Application trop lourde pour de petits organismes</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Configurateur d'applicabilité, modules facultatifs désactivables, vocabulaire simple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Documentation perçue comme une charge</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Gabarits courts, saisie mobile, génération automatique des dossiers</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Interprétation erronée de la norme</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Textes d'aide relus par un auditeur expérimenté, renvoi aux articles</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Droits d'auteur de la norme</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Aucune citation du texte ; formulations propres</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Sensibilité des données clients</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Cloisonnement, minimisation, contrôle juridique avant mise en production</w:t>
            </w:r>
          </w:p>
        </w:tc>
      </w:tr>
    </w:tbl>
    <w:p>
      <w:pPr>
        <w:pStyle w:val="Heading3"/>
        <w:spacing w:before="240" w:after="80"/>
        <w:rPr/>
      </w:pPr>
      <w:r>
        <w:rPr/>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29"/>
    <w:lvlOverride w:ilvl="0">
      <w:startOverride w:val="1"/>
    </w:lvlOverride>
  </w:num>
</w:numbering>
</file>

<file path=word/settings.xml><?xml version="1.0" encoding="utf-8"?>
<w:settings xmlns:w="http://schemas.openxmlformats.org/wordprocessingml/2006/main">
  <w:zoom w:percent="124"/>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annotationreference">
    <w:name w:val="annotation referen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23</Pages>
  <Words>7167</Words>
  <Characters>42648</Characters>
  <CharactersWithSpaces>49024</CharactersWithSpaces>
  <Paragraphs>617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node/1d605758-1bdc@15 docx-w6</dc:description>
  <dc:language>en-US</dc:language>
  <cp:lastModifiedBy/>
  <dcterms:modified xsi:type="dcterms:W3CDTF">2026-10-16T10:57:00Z</dcterms:modified>
  <cp:revision>16</cp:revision>
  <dc:subject/>
  <dc:title>Cahier des charges – Application de Système de Management de la Qualité (ISO 900</dc:title>
</cp:coreProperties>
</file>

<file path=docProps/custom.xml><?xml version="1.0" encoding="utf-8"?>
<Properties xmlns="http://schemas.openxmlformats.org/officeDocument/2006/custom-properties" xmlns:vt="http://schemas.openxmlformats.org/officeDocument/2006/docPropsVTypes"/>
</file>